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after="0" w:line="360" w:lineRule="exact"/>
        <w:jc w:val="center"/>
        <w:textAlignment w:val="auto"/>
        <w:rPr>
          <w:rFonts w:ascii="宋体" w:hAnsi="宋体" w:eastAsia="宋体"/>
          <w:b/>
          <w:kern w:val="2"/>
          <w:sz w:val="32"/>
          <w:szCs w:val="32"/>
          <w:lang w:eastAsia="zh-CN"/>
        </w:rPr>
      </w:pPr>
      <w:r>
        <w:rPr>
          <w:rFonts w:hint="eastAsia" w:ascii="宋体" w:hAnsi="宋体" w:eastAsia="宋体"/>
          <w:b/>
          <w:kern w:val="2"/>
          <w:sz w:val="32"/>
          <w:szCs w:val="32"/>
          <w:lang w:eastAsia="zh-CN"/>
        </w:rPr>
        <w:t>《公共行政学》课程教学大纲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60"/>
        <w:gridCol w:w="240"/>
        <w:gridCol w:w="129"/>
        <w:gridCol w:w="580"/>
        <w:gridCol w:w="43"/>
        <w:gridCol w:w="1550"/>
        <w:gridCol w:w="860"/>
        <w:gridCol w:w="1374"/>
        <w:gridCol w:w="142"/>
        <w:gridCol w:w="893"/>
        <w:gridCol w:w="49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7"/>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公共行政学</w:t>
            </w:r>
          </w:p>
        </w:tc>
        <w:tc>
          <w:tcPr>
            <w:tcW w:w="4850" w:type="dxa"/>
            <w:gridSpan w:val="6"/>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line="360" w:lineRule="exact"/>
              <w:textAlignment w:val="auto"/>
              <w:outlineLvl w:val="0"/>
              <w:rPr>
                <w:rFonts w:ascii="宋体" w:hAnsi="宋体" w:eastAsiaTheme="minorEastAsia"/>
                <w:szCs w:val="21"/>
                <w:lang w:eastAsia="zh-CN"/>
              </w:rPr>
            </w:pPr>
            <w:r>
              <w:rPr>
                <w:rFonts w:hint="eastAsia" w:ascii="宋体" w:hAnsi="宋体" w:eastAsia="宋体"/>
                <w:b/>
                <w:sz w:val="21"/>
                <w:szCs w:val="21"/>
              </w:rPr>
              <w:t>课程英文名称：</w:t>
            </w:r>
            <w:r>
              <w:rPr>
                <w:rFonts w:hint="eastAsia" w:ascii="宋体" w:hAnsi="宋体" w:eastAsiaTheme="minorEastAsia"/>
                <w:szCs w:val="21"/>
                <w:lang w:eastAsia="zh-CN"/>
              </w:rPr>
              <w:t xml:space="preserve"> </w:t>
            </w:r>
            <w:r>
              <w:rPr>
                <w:rFonts w:ascii="宋体" w:hAnsi="宋体"/>
                <w:szCs w:val="21"/>
              </w:rPr>
              <w:t xml:space="preserve"> Public Administration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7"/>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总学时/周学时/学分：</w:t>
            </w:r>
            <w:r>
              <w:rPr>
                <w:rFonts w:hint="eastAsia" w:ascii="宋体" w:hAnsi="宋体" w:eastAsia="宋体"/>
                <w:sz w:val="21"/>
                <w:szCs w:val="21"/>
              </w:rPr>
              <w:t>36/3/2</w:t>
            </w:r>
          </w:p>
        </w:tc>
        <w:tc>
          <w:tcPr>
            <w:tcW w:w="4850" w:type="dxa"/>
            <w:gridSpan w:val="6"/>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sz w:val="21"/>
                <w:szCs w:val="21"/>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 xml:space="preserve">先修课程： </w:t>
            </w:r>
            <w:r>
              <w:rPr>
                <w:rFonts w:hint="eastAsia" w:ascii="宋体" w:hAnsi="宋体" w:eastAsia="宋体"/>
                <w:sz w:val="21"/>
                <w:szCs w:val="21"/>
                <w:lang w:eastAsia="zh-CN"/>
              </w:rPr>
              <w:t>当代中国政治制度、社会学、管理学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7"/>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b/>
                <w:sz w:val="21"/>
                <w:szCs w:val="21"/>
              </w:rPr>
              <w:t>授课时间：</w:t>
            </w:r>
            <w:r>
              <w:rPr>
                <w:rFonts w:hint="eastAsia" w:ascii="宋体" w:hAnsi="宋体" w:eastAsia="宋体"/>
                <w:b/>
                <w:sz w:val="21"/>
                <w:szCs w:val="21"/>
                <w:lang w:val="en-US" w:eastAsia="zh-CN"/>
              </w:rPr>
              <w:t>[1-12周]</w:t>
            </w:r>
            <w:r>
              <w:rPr>
                <w:rFonts w:hint="eastAsia" w:ascii="宋体" w:hAnsi="宋体" w:eastAsia="宋体"/>
                <w:sz w:val="21"/>
                <w:szCs w:val="21"/>
              </w:rPr>
              <w:t>周</w:t>
            </w:r>
            <w:r>
              <w:rPr>
                <w:rFonts w:hint="eastAsia" w:ascii="宋体" w:hAnsi="宋体" w:eastAsia="宋体"/>
                <w:sz w:val="21"/>
                <w:szCs w:val="21"/>
                <w:lang w:eastAsia="zh-CN"/>
              </w:rPr>
              <w:t>四</w:t>
            </w:r>
            <w:r>
              <w:rPr>
                <w:rFonts w:hint="eastAsia" w:ascii="宋体" w:hAnsi="宋体" w:eastAsia="宋体"/>
                <w:sz w:val="21"/>
                <w:szCs w:val="21"/>
                <w:lang w:val="en-US" w:eastAsia="zh-CN"/>
              </w:rPr>
              <w:t xml:space="preserve"> 3-4节</w:t>
            </w:r>
            <w:bookmarkStart w:id="0" w:name="_GoBack"/>
            <w:bookmarkEnd w:id="0"/>
          </w:p>
        </w:tc>
        <w:tc>
          <w:tcPr>
            <w:tcW w:w="4850" w:type="dxa"/>
            <w:gridSpan w:val="6"/>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sz w:val="21"/>
                <w:szCs w:val="21"/>
              </w:rPr>
              <w:t>620</w:t>
            </w:r>
            <w:r>
              <w:rPr>
                <w:rFonts w:hint="eastAsia" w:ascii="宋体" w:hAnsi="宋体" w:eastAsia="宋体"/>
                <w:sz w:val="21"/>
                <w:szCs w:val="21"/>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 </w:t>
            </w:r>
            <w:r>
              <w:rPr>
                <w:rFonts w:hint="eastAsia" w:ascii="宋体" w:hAnsi="宋体" w:eastAsia="宋体"/>
                <w:sz w:val="21"/>
                <w:szCs w:val="21"/>
                <w:lang w:eastAsia="zh-CN"/>
              </w:rPr>
              <w:t>17行政管理专业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法社学院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黄海蓉讲师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7"/>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sz w:val="21"/>
                <w:szCs w:val="21"/>
              </w:rPr>
              <w:t>13790421180</w:t>
            </w:r>
          </w:p>
        </w:tc>
        <w:tc>
          <w:tcPr>
            <w:tcW w:w="4850" w:type="dxa"/>
            <w:gridSpan w:val="6"/>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Email:</w:t>
            </w:r>
            <w:r>
              <w:rPr>
                <w:rFonts w:ascii="宋体" w:hAnsi="宋体"/>
                <w:szCs w:val="21"/>
                <w:lang w:val="en-GB"/>
              </w:rPr>
              <w:t xml:space="preserve"> </w:t>
            </w:r>
            <w:r>
              <w:rPr>
                <w:rFonts w:ascii="宋体" w:hAnsi="宋体" w:eastAsia="宋体"/>
                <w:sz w:val="21"/>
                <w:szCs w:val="21"/>
              </w:rPr>
              <w:t>hhr919@163.com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随时随地，电话、邮件，微信等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ascii="宋体" w:hAnsi="宋体" w:eastAsia="宋体"/>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bCs/>
                <w:sz w:val="21"/>
                <w:szCs w:val="21"/>
                <w:lang w:eastAsia="zh-CN"/>
              </w:rPr>
              <w:t>使用教材：</w:t>
            </w:r>
            <w:r>
              <w:rPr>
                <w:rFonts w:hint="eastAsia" w:ascii="宋体" w:hAnsi="宋体" w:eastAsia="宋体"/>
                <w:sz w:val="21"/>
                <w:szCs w:val="21"/>
                <w:lang w:eastAsia="zh-CN"/>
              </w:rPr>
              <w:t>金太军：《行政学原理》，中国人民大学出版社，2012年版</w:t>
            </w:r>
          </w:p>
          <w:p>
            <w:pPr>
              <w:keepNext w:val="0"/>
              <w:keepLines w:val="0"/>
              <w:pageBreakBefore w:val="0"/>
              <w:kinsoku/>
              <w:wordWrap/>
              <w:overflowPunct/>
              <w:topLinePunct w:val="0"/>
              <w:autoSpaceDE/>
              <w:autoSpaceDN/>
              <w:bidi w:val="0"/>
              <w:adjustRightInd/>
              <w:spacing w:line="360" w:lineRule="exact"/>
              <w:textAlignment w:val="auto"/>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sz w:val="21"/>
                <w:szCs w:val="21"/>
                <w:lang w:eastAsia="zh-CN"/>
              </w:rPr>
              <w:t>（1）刘厚金：《行政学概论》，北京大学出版社，2015年版。</w:t>
            </w:r>
          </w:p>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sz w:val="21"/>
                <w:szCs w:val="21"/>
                <w:lang w:eastAsia="zh-CN"/>
              </w:rPr>
              <w:t>（2）</w:t>
            </w:r>
            <w:r>
              <w:fldChar w:fldCharType="begin"/>
            </w:r>
            <w:r>
              <w:instrText xml:space="preserve"> HYPERLINK "http://www.dangdang.com/author/%C2%DE%C9%AD%B2%BC%C2%B3%C4%B7_1" \t "_blank" </w:instrText>
            </w:r>
            <w:r>
              <w:fldChar w:fldCharType="separate"/>
            </w:r>
            <w:r>
              <w:rPr>
                <w:rFonts w:ascii="宋体" w:hAnsi="宋体" w:eastAsia="宋体"/>
                <w:sz w:val="21"/>
                <w:szCs w:val="21"/>
                <w:lang w:eastAsia="zh-CN"/>
              </w:rPr>
              <w:t>罗森布鲁姆</w:t>
            </w:r>
            <w:r>
              <w:rPr>
                <w:rFonts w:ascii="宋体" w:hAnsi="宋体" w:eastAsia="宋体"/>
                <w:sz w:val="21"/>
                <w:szCs w:val="21"/>
                <w:lang w:eastAsia="zh-CN"/>
              </w:rPr>
              <w:fldChar w:fldCharType="end"/>
            </w:r>
            <w:r>
              <w:rPr>
                <w:rFonts w:hint="eastAsia" w:ascii="宋体" w:hAnsi="宋体" w:eastAsia="宋体"/>
                <w:sz w:val="21"/>
                <w:szCs w:val="21"/>
                <w:lang w:eastAsia="zh-CN"/>
              </w:rPr>
              <w:t>：《公共行政学：管理、政治</w:t>
            </w:r>
            <w:r>
              <w:rPr>
                <w:rFonts w:ascii="宋体" w:hAnsi="宋体" w:eastAsia="宋体"/>
                <w:sz w:val="21"/>
                <w:szCs w:val="21"/>
                <w:lang w:eastAsia="zh-CN"/>
              </w:rPr>
              <w:t>和法律的途径（第七版）</w:t>
            </w:r>
            <w:r>
              <w:rPr>
                <w:rFonts w:hint="eastAsia" w:ascii="宋体" w:hAnsi="宋体" w:eastAsia="宋体"/>
                <w:sz w:val="21"/>
                <w:szCs w:val="21"/>
                <w:lang w:eastAsia="zh-CN"/>
              </w:rPr>
              <w:t>》，中国人民大学出版社，2013年版。</w:t>
            </w:r>
          </w:p>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sz w:val="21"/>
                <w:szCs w:val="21"/>
                <w:lang w:eastAsia="zh-CN"/>
              </w:rPr>
              <w:t>（3）[美]尼古拉</w:t>
            </w:r>
            <w:r>
              <w:rPr>
                <w:rFonts w:ascii="宋体" w:hAnsi="宋体" w:eastAsia="宋体"/>
                <w:sz w:val="21"/>
                <w:szCs w:val="21"/>
                <w:lang w:eastAsia="zh-CN"/>
              </w:rPr>
              <w:t>·</w:t>
            </w:r>
            <w:r>
              <w:rPr>
                <w:rFonts w:hint="eastAsia" w:ascii="宋体" w:hAnsi="宋体" w:eastAsia="宋体"/>
                <w:sz w:val="21"/>
                <w:szCs w:val="21"/>
                <w:lang w:eastAsia="zh-CN"/>
              </w:rPr>
              <w:t>亨利：《公共行政学》，项龙译，华夏出版社，2002年版。</w:t>
            </w:r>
          </w:p>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sz w:val="21"/>
                <w:szCs w:val="21"/>
                <w:lang w:eastAsia="zh-CN"/>
              </w:rPr>
              <w:t>（4）（美）弗雷德里克森：《公共行政的精神》，中国人民大学出版社，2003年版。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5" w:hRule="atLeast"/>
          <w:jc w:val="center"/>
        </w:trPr>
        <w:tc>
          <w:tcPr>
            <w:tcW w:w="9401" w:type="dxa"/>
            <w:gridSpan w:val="13"/>
            <w:vAlign w:val="center"/>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keepNext w:val="0"/>
              <w:keepLines w:val="0"/>
              <w:pageBreakBefore w:val="0"/>
              <w:tabs>
                <w:tab w:val="left" w:pos="1440"/>
              </w:tabs>
              <w:kinsoku/>
              <w:wordWrap/>
              <w:overflowPunct/>
              <w:topLinePunct w:val="0"/>
              <w:autoSpaceDE/>
              <w:autoSpaceDN/>
              <w:bidi w:val="0"/>
              <w:adjustRightInd/>
              <w:spacing w:line="360" w:lineRule="exact"/>
              <w:ind w:firstLine="417" w:firstLineChars="199"/>
              <w:textAlignment w:val="auto"/>
              <w:outlineLvl w:val="0"/>
              <w:rPr>
                <w:rFonts w:ascii="宋体" w:hAnsi="宋体" w:eastAsia="宋体"/>
                <w:sz w:val="21"/>
                <w:szCs w:val="21"/>
                <w:lang w:eastAsia="zh-CN"/>
              </w:rPr>
            </w:pPr>
            <w:r>
              <w:rPr>
                <w:rFonts w:hint="eastAsia" w:ascii="宋体" w:hAnsi="宋体" w:eastAsia="宋体"/>
                <w:sz w:val="21"/>
                <w:szCs w:val="21"/>
                <w:lang w:eastAsia="zh-CN"/>
              </w:rPr>
              <w:t>地位：学习公共行政学，了解和掌握行政管理学的基本理论和主要内容，对于行政管理专业的学生了解政府管理，学好后续课程，从事行政管理的实践具有十分重要的指导意义。</w:t>
            </w:r>
          </w:p>
          <w:p>
            <w:pPr>
              <w:keepNext w:val="0"/>
              <w:keepLines w:val="0"/>
              <w:pageBreakBefore w:val="0"/>
              <w:tabs>
                <w:tab w:val="left" w:pos="1440"/>
              </w:tabs>
              <w:kinsoku/>
              <w:wordWrap/>
              <w:overflowPunct/>
              <w:topLinePunct w:val="0"/>
              <w:autoSpaceDE/>
              <w:autoSpaceDN/>
              <w:bidi w:val="0"/>
              <w:adjustRightInd/>
              <w:spacing w:line="360" w:lineRule="exact"/>
              <w:ind w:firstLine="417" w:firstLineChars="199"/>
              <w:textAlignment w:val="auto"/>
              <w:outlineLvl w:val="0"/>
              <w:rPr>
                <w:rFonts w:ascii="宋体" w:hAnsi="宋体" w:eastAsia="宋体"/>
                <w:sz w:val="21"/>
                <w:szCs w:val="21"/>
                <w:lang w:eastAsia="zh-CN"/>
              </w:rPr>
            </w:pPr>
            <w:r>
              <w:rPr>
                <w:rFonts w:hint="eastAsia" w:ascii="宋体" w:hAnsi="宋体" w:eastAsia="宋体"/>
                <w:sz w:val="21"/>
                <w:szCs w:val="21"/>
                <w:lang w:eastAsia="zh-CN"/>
              </w:rPr>
              <w:t>作用：本课程在专业课程体系建构中，具有突出专业性质的学习作用，是专业必修课和基础课程</w:t>
            </w:r>
          </w:p>
          <w:p>
            <w:pPr>
              <w:keepNext w:val="0"/>
              <w:keepLines w:val="0"/>
              <w:pageBreakBefore w:val="0"/>
              <w:tabs>
                <w:tab w:val="left" w:pos="1440"/>
              </w:tabs>
              <w:kinsoku/>
              <w:wordWrap/>
              <w:overflowPunct/>
              <w:topLinePunct w:val="0"/>
              <w:autoSpaceDE/>
              <w:autoSpaceDN/>
              <w:bidi w:val="0"/>
              <w:adjustRightInd/>
              <w:spacing w:line="360" w:lineRule="exact"/>
              <w:ind w:firstLine="417" w:firstLineChars="199"/>
              <w:textAlignment w:val="auto"/>
              <w:outlineLvl w:val="0"/>
              <w:rPr>
                <w:rFonts w:ascii="宋体" w:hAnsi="宋体" w:eastAsia="宋体"/>
                <w:sz w:val="21"/>
                <w:szCs w:val="21"/>
                <w:lang w:eastAsia="zh-CN"/>
              </w:rPr>
            </w:pPr>
            <w:r>
              <w:rPr>
                <w:rFonts w:hint="eastAsia" w:ascii="宋体" w:hAnsi="宋体" w:eastAsia="宋体"/>
                <w:sz w:val="21"/>
                <w:szCs w:val="21"/>
                <w:lang w:eastAsia="zh-CN"/>
              </w:rPr>
              <w:t>特点：难度适中，贴近行政管理的现实，理论性和实践性都较强。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401" w:type="dxa"/>
            <w:gridSpan w:val="13"/>
          </w:tcPr>
          <w:p>
            <w:pPr>
              <w:keepNext w:val="0"/>
              <w:keepLines w:val="0"/>
              <w:pageBreakBefore w:val="0"/>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keepNext w:val="0"/>
              <w:keepLines w:val="0"/>
              <w:pageBreakBefore w:val="0"/>
              <w:tabs>
                <w:tab w:val="left" w:pos="1440"/>
              </w:tabs>
              <w:kinsoku/>
              <w:wordWrap/>
              <w:overflowPunct/>
              <w:topLinePunct w:val="0"/>
              <w:autoSpaceDE/>
              <w:autoSpaceDN/>
              <w:bidi w:val="0"/>
              <w:adjustRightInd/>
              <w:spacing w:line="360" w:lineRule="exact"/>
              <w:ind w:firstLine="417" w:firstLineChars="199"/>
              <w:textAlignment w:val="auto"/>
              <w:outlineLvl w:val="0"/>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、知识与技能目标：掌握行政学的概念和特征；掌握公共行政学的基本理论和方法；了解我国和国外行政管理改革的重要性和必要性；运用知识去分析和评价我国的行政管理现象。</w:t>
            </w:r>
          </w:p>
          <w:p>
            <w:pPr>
              <w:keepNext w:val="0"/>
              <w:keepLines w:val="0"/>
              <w:pageBreakBefore w:val="0"/>
              <w:tabs>
                <w:tab w:val="left" w:pos="1440"/>
              </w:tabs>
              <w:kinsoku/>
              <w:wordWrap/>
              <w:overflowPunct/>
              <w:topLinePunct w:val="0"/>
              <w:autoSpaceDE/>
              <w:autoSpaceDN/>
              <w:bidi w:val="0"/>
              <w:adjustRightInd/>
              <w:spacing w:line="360" w:lineRule="exact"/>
              <w:ind w:firstLine="417" w:firstLineChars="199"/>
              <w:textAlignment w:val="auto"/>
              <w:outlineLvl w:val="0"/>
              <w:rPr>
                <w:rFonts w:ascii="宋体" w:hAnsi="宋体" w:eastAsia="宋体"/>
                <w:sz w:val="21"/>
                <w:szCs w:val="21"/>
                <w:lang w:eastAsia="zh-CN"/>
              </w:rPr>
            </w:pPr>
            <w:r>
              <w:rPr>
                <w:rFonts w:hint="eastAsia" w:ascii="宋体" w:hAnsi="宋体" w:eastAsia="宋体"/>
                <w:sz w:val="21"/>
                <w:szCs w:val="21"/>
                <w:lang w:eastAsia="zh-CN"/>
              </w:rPr>
              <w:t>2、过程与方法目标：培养学生学习行政管理学的兴趣和实践能力；帮助学生认清行政管理中存在的各种问题；指导学生研究行政管理改革的必要性和方向；训练学生运用行政管理学的知识去分析和评价我国行政管理中存在的问题和解决办法，培养学生理性的政治思考能力和辨别能力。</w:t>
            </w:r>
          </w:p>
          <w:p>
            <w:pPr>
              <w:keepNext w:val="0"/>
              <w:keepLines w:val="0"/>
              <w:pageBreakBefore w:val="0"/>
              <w:tabs>
                <w:tab w:val="left" w:pos="1440"/>
              </w:tabs>
              <w:kinsoku/>
              <w:wordWrap/>
              <w:overflowPunct/>
              <w:topLinePunct w:val="0"/>
              <w:autoSpaceDE/>
              <w:autoSpaceDN/>
              <w:bidi w:val="0"/>
              <w:adjustRightInd/>
              <w:spacing w:line="360" w:lineRule="exact"/>
              <w:ind w:firstLine="417" w:firstLineChars="199"/>
              <w:textAlignment w:val="auto"/>
              <w:outlineLvl w:val="0"/>
              <w:rPr>
                <w:rFonts w:ascii="宋体" w:hAnsi="宋体" w:eastAsia="宋体"/>
                <w:sz w:val="21"/>
                <w:szCs w:val="21"/>
                <w:lang w:eastAsia="zh-CN"/>
              </w:rPr>
            </w:pPr>
            <w:r>
              <w:rPr>
                <w:rFonts w:hint="eastAsia" w:ascii="宋体" w:hAnsi="宋体" w:eastAsia="宋体"/>
                <w:sz w:val="21"/>
                <w:szCs w:val="21"/>
                <w:lang w:eastAsia="zh-CN"/>
              </w:rPr>
              <w:t>3、情感、态度与价值观发展目标：加深学生对中国国情的认识；树立和增强学生对我国行政管理制度及其改革的正确信念和认同；丰富学生的政治内涵，陶冶政治情操。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shd w:val="clear" w:color="auto" w:fill="C0C0C0"/>
            <w:vAlign w:val="center"/>
          </w:tcPr>
          <w:p>
            <w:pPr>
              <w:keepNext w:val="0"/>
              <w:keepLines w:val="0"/>
              <w:pageBreakBefore w:val="0"/>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600" w:type="dxa"/>
            <w:gridSpan w:val="2"/>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709" w:type="dxa"/>
            <w:gridSpan w:val="2"/>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3827" w:type="dxa"/>
            <w:gridSpan w:val="4"/>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525" w:type="dxa"/>
            <w:gridSpan w:val="3"/>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91" w:type="dxa"/>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649" w:type="dxa"/>
            <w:vMerge w:val="restart"/>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w:t>
            </w:r>
          </w:p>
        </w:tc>
        <w:tc>
          <w:tcPr>
            <w:tcW w:w="160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Theme="majorEastAsia" w:hAnsiTheme="majorEastAsia" w:eastAsiaTheme="majorEastAsia"/>
                <w:sz w:val="21"/>
                <w:szCs w:val="21"/>
              </w:rPr>
            </w:pPr>
            <w:r>
              <w:rPr>
                <w:rFonts w:asciiTheme="majorEastAsia" w:hAnsiTheme="majorEastAsia" w:eastAsiaTheme="majorEastAsia"/>
                <w:sz w:val="21"/>
                <w:szCs w:val="21"/>
              </w:rPr>
              <w:t>绪论</w:t>
            </w:r>
          </w:p>
        </w:tc>
        <w:tc>
          <w:tcPr>
            <w:tcW w:w="709" w:type="dxa"/>
            <w:gridSpan w:val="2"/>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2</w:t>
            </w:r>
          </w:p>
        </w:tc>
        <w:tc>
          <w:tcPr>
            <w:tcW w:w="3827" w:type="dxa"/>
            <w:gridSpan w:val="4"/>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行政学的含义、内容、发展、背景</w:t>
            </w:r>
          </w:p>
        </w:tc>
        <w:tc>
          <w:tcPr>
            <w:tcW w:w="1525" w:type="dxa"/>
            <w:gridSpan w:val="3"/>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Theme="majorEastAsia" w:hAnsiTheme="majorEastAsia" w:eastAsiaTheme="majorEastAsia"/>
                <w:b/>
                <w:color w:val="FF0000"/>
                <w:sz w:val="21"/>
                <w:szCs w:val="21"/>
                <w:lang w:eastAsia="zh-CN"/>
              </w:rPr>
            </w:pPr>
            <w:r>
              <w:rPr>
                <w:rFonts w:asciiTheme="majorEastAsia" w:hAnsiTheme="majorEastAsia" w:eastAsiaTheme="majorEastAsia"/>
                <w:sz w:val="21"/>
                <w:szCs w:val="21"/>
                <w:lang w:eastAsia="zh-CN"/>
              </w:rPr>
              <w:t>课堂讲授</w:t>
            </w:r>
          </w:p>
        </w:tc>
        <w:tc>
          <w:tcPr>
            <w:tcW w:w="1091" w:type="dxa"/>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rPr>
              <w:t>行政与经济</w:t>
            </w:r>
          </w:p>
        </w:tc>
        <w:tc>
          <w:tcPr>
            <w:tcW w:w="709" w:type="dxa"/>
            <w:gridSpan w:val="2"/>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1</w:t>
            </w:r>
          </w:p>
        </w:tc>
        <w:tc>
          <w:tcPr>
            <w:tcW w:w="3827" w:type="dxa"/>
            <w:gridSpan w:val="4"/>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政府经济职能模式、政府经济职能</w:t>
            </w:r>
          </w:p>
        </w:tc>
        <w:tc>
          <w:tcPr>
            <w:tcW w:w="1525" w:type="dxa"/>
            <w:gridSpan w:val="3"/>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课堂讲授</w:t>
            </w:r>
          </w:p>
        </w:tc>
        <w:tc>
          <w:tcPr>
            <w:tcW w:w="1091" w:type="dxa"/>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1600" w:type="dxa"/>
            <w:gridSpan w:val="2"/>
            <w:vMerge w:val="restart"/>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行政与社会</w:t>
            </w:r>
          </w:p>
        </w:tc>
        <w:tc>
          <w:tcPr>
            <w:tcW w:w="709" w:type="dxa"/>
            <w:gridSpan w:val="2"/>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3827" w:type="dxa"/>
            <w:gridSpan w:val="4"/>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行政与社会关系，政府的社会职能</w:t>
            </w:r>
          </w:p>
        </w:tc>
        <w:tc>
          <w:tcPr>
            <w:tcW w:w="1525" w:type="dxa"/>
            <w:gridSpan w:val="3"/>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课堂讲授法、小组讨论</w:t>
            </w:r>
          </w:p>
        </w:tc>
        <w:tc>
          <w:tcPr>
            <w:tcW w:w="1091" w:type="dxa"/>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谈谈对办证的看法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c>
          <w:tcPr>
            <w:tcW w:w="3827" w:type="dxa"/>
            <w:gridSpan w:val="4"/>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rPr>
              <w:t>实践</w:t>
            </w:r>
            <w:r>
              <w:rPr>
                <w:rFonts w:hint="eastAsia" w:asciiTheme="majorEastAsia" w:hAnsiTheme="majorEastAsia" w:eastAsiaTheme="majorEastAsia"/>
                <w:sz w:val="21"/>
                <w:szCs w:val="21"/>
                <w:lang w:eastAsia="zh-CN"/>
              </w:rPr>
              <w:t>课</w:t>
            </w:r>
          </w:p>
        </w:tc>
        <w:tc>
          <w:tcPr>
            <w:tcW w:w="1525" w:type="dxa"/>
            <w:gridSpan w:val="3"/>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c>
          <w:tcPr>
            <w:tcW w:w="1091" w:type="dxa"/>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w:t>
            </w:r>
          </w:p>
        </w:tc>
        <w:tc>
          <w:tcPr>
            <w:tcW w:w="1600" w:type="dxa"/>
            <w:gridSpan w:val="2"/>
            <w:vMerge w:val="restart"/>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行政组织</w:t>
            </w:r>
          </w:p>
        </w:tc>
        <w:tc>
          <w:tcPr>
            <w:tcW w:w="709" w:type="dxa"/>
            <w:gridSpan w:val="2"/>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2</w:t>
            </w:r>
          </w:p>
        </w:tc>
        <w:tc>
          <w:tcPr>
            <w:tcW w:w="3827" w:type="dxa"/>
            <w:gridSpan w:val="4"/>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行政组织的含义、要素、分类、结构、行政组织体制设计的原则、行政组织结构</w:t>
            </w:r>
          </w:p>
        </w:tc>
        <w:tc>
          <w:tcPr>
            <w:tcW w:w="1525" w:type="dxa"/>
            <w:gridSpan w:val="3"/>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rPr>
              <w:t>课堂讲授</w:t>
            </w:r>
          </w:p>
        </w:tc>
        <w:tc>
          <w:tcPr>
            <w:tcW w:w="1091" w:type="dxa"/>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1</w:t>
            </w:r>
          </w:p>
        </w:tc>
        <w:tc>
          <w:tcPr>
            <w:tcW w:w="3827" w:type="dxa"/>
            <w:gridSpan w:val="4"/>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我国的行政组织改革</w:t>
            </w:r>
          </w:p>
        </w:tc>
        <w:tc>
          <w:tcPr>
            <w:tcW w:w="1525" w:type="dxa"/>
            <w:gridSpan w:val="3"/>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课堂</w:t>
            </w:r>
            <w:r>
              <w:rPr>
                <w:rFonts w:hint="eastAsia" w:asciiTheme="majorEastAsia" w:hAnsiTheme="majorEastAsia" w:eastAsiaTheme="majorEastAsia"/>
                <w:sz w:val="21"/>
                <w:szCs w:val="21"/>
                <w:lang w:eastAsia="zh-CN"/>
              </w:rPr>
              <w:t>讲授</w:t>
            </w:r>
          </w:p>
        </w:tc>
        <w:tc>
          <w:tcPr>
            <w:tcW w:w="1091" w:type="dxa"/>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1600" w:type="dxa"/>
            <w:gridSpan w:val="2"/>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c>
          <w:tcPr>
            <w:tcW w:w="3827" w:type="dxa"/>
            <w:gridSpan w:val="4"/>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实</w:t>
            </w:r>
            <w:r>
              <w:rPr>
                <w:rFonts w:hint="eastAsia" w:asciiTheme="majorEastAsia" w:hAnsiTheme="majorEastAsia" w:eastAsiaTheme="majorEastAsia"/>
                <w:sz w:val="21"/>
                <w:szCs w:val="21"/>
              </w:rPr>
              <w:t>践课</w:t>
            </w:r>
          </w:p>
        </w:tc>
        <w:tc>
          <w:tcPr>
            <w:tcW w:w="1525" w:type="dxa"/>
            <w:gridSpan w:val="3"/>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c>
          <w:tcPr>
            <w:tcW w:w="1091" w:type="dxa"/>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restart"/>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行政领导</w:t>
            </w:r>
          </w:p>
        </w:tc>
        <w:tc>
          <w:tcPr>
            <w:tcW w:w="709" w:type="dxa"/>
            <w:gridSpan w:val="2"/>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2</w:t>
            </w:r>
          </w:p>
        </w:tc>
        <w:tc>
          <w:tcPr>
            <w:tcW w:w="3827" w:type="dxa"/>
            <w:gridSpan w:val="4"/>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行政领导的含义、权责关系</w:t>
            </w:r>
          </w:p>
        </w:tc>
        <w:tc>
          <w:tcPr>
            <w:tcW w:w="1525" w:type="dxa"/>
            <w:gridSpan w:val="3"/>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rPr>
              <w:t>课堂讲授</w:t>
            </w:r>
          </w:p>
        </w:tc>
        <w:tc>
          <w:tcPr>
            <w:tcW w:w="1091" w:type="dxa"/>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tcBorders>
              <w:top w:val="single" w:color="auto" w:sz="4" w:space="0"/>
              <w:lef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5</w:t>
            </w:r>
          </w:p>
        </w:tc>
        <w:tc>
          <w:tcPr>
            <w:tcW w:w="1600" w:type="dxa"/>
            <w:gridSpan w:val="2"/>
            <w:vMerge w:val="continue"/>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rPr>
              <w:t>实践课</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tcBorders>
              <w:bottom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行政领导的结构</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6</w:t>
            </w:r>
          </w:p>
        </w:tc>
        <w:tc>
          <w:tcPr>
            <w:tcW w:w="1600"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行政决策</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行政决策的含义、类型、行政决策的理论模型</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行政决策的科学化、民主化程序</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讲授法</w:t>
            </w:r>
            <w:r>
              <w:rPr>
                <w:rFonts w:hint="eastAsia" w:asciiTheme="majorEastAsia" w:hAnsiTheme="majorEastAsia" w:eastAsiaTheme="majorEastAsia"/>
                <w:sz w:val="21"/>
                <w:szCs w:val="21"/>
                <w:lang w:eastAsia="zh-CN"/>
              </w:rPr>
              <w:t>、</w:t>
            </w:r>
            <w:r>
              <w:rPr>
                <w:rFonts w:hint="eastAsia" w:asciiTheme="majorEastAsia" w:hAnsiTheme="majorEastAsia" w:eastAsiaTheme="majorEastAsia"/>
                <w:sz w:val="21"/>
                <w:szCs w:val="21"/>
              </w:rPr>
              <w:t>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8" w:hRule="atLeast"/>
          <w:jc w:val="center"/>
        </w:trPr>
        <w:tc>
          <w:tcPr>
            <w:tcW w:w="649"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7</w:t>
            </w:r>
          </w:p>
        </w:tc>
        <w:tc>
          <w:tcPr>
            <w:tcW w:w="1600"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行政决策失误的现状、原因分析</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课堂讲授、小组讨论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我国行政决策失误主要原因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649"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行政实施</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行政实施的过程、行政实施偏差的表现形式、原因、对策</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8</w:t>
            </w:r>
          </w:p>
        </w:tc>
        <w:tc>
          <w:tcPr>
            <w:tcW w:w="1600"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行政监督</w:t>
            </w:r>
          </w:p>
          <w:p>
            <w:pPr>
              <w:keepNext w:val="0"/>
              <w:keepLines w:val="0"/>
              <w:pageBreakBefore w:val="0"/>
              <w:kinsoku/>
              <w:wordWrap/>
              <w:overflowPunct/>
              <w:topLinePunct w:val="0"/>
              <w:autoSpaceDE/>
              <w:autoSpaceDN/>
              <w:bidi w:val="0"/>
              <w:adjustRightInd/>
              <w:spacing w:line="360" w:lineRule="exact"/>
              <w:textAlignment w:val="auto"/>
              <w:rPr>
                <w:rFonts w:ascii="宋体" w:hAnsi="宋体" w:eastAsia="宋体"/>
                <w:sz w:val="21"/>
                <w:szCs w:val="21"/>
                <w:lang w:val="en-GB"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行政监督的含义、特征、体系</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4" w:hRule="atLeast"/>
          <w:jc w:val="center"/>
        </w:trPr>
        <w:tc>
          <w:tcPr>
            <w:tcW w:w="649"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监督体制存在的问题、</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观看视频</w:t>
            </w:r>
          </w:p>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课堂讲授</w:t>
            </w:r>
          </w:p>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行政监督主要路径的优缺点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9</w:t>
            </w:r>
          </w:p>
        </w:tc>
        <w:tc>
          <w:tcPr>
            <w:tcW w:w="1600"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反腐的成绩及完善监督机制的对策</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实践课</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行政法治</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法治的含义、对权力的理解、行政立法的含义、体系</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10</w:t>
            </w:r>
          </w:p>
        </w:tc>
        <w:tc>
          <w:tcPr>
            <w:tcW w:w="1600"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行政法治的含义、目标、</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法治政府的含义、改革要求</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课堂</w:t>
            </w:r>
            <w:r>
              <w:rPr>
                <w:rFonts w:hint="eastAsia" w:asciiTheme="majorEastAsia" w:hAnsiTheme="majorEastAsia" w:eastAsiaTheme="majorEastAsia"/>
                <w:sz w:val="21"/>
                <w:szCs w:val="21"/>
                <w:lang w:eastAsia="zh-CN"/>
              </w:rPr>
              <w:t>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11</w:t>
            </w:r>
          </w:p>
        </w:tc>
        <w:tc>
          <w:tcPr>
            <w:tcW w:w="1600"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asciiTheme="majorEastAsia" w:hAnsiTheme="majorEastAsia" w:eastAsiaTheme="majorEastAsia"/>
                <w:sz w:val="21"/>
                <w:szCs w:val="21"/>
              </w:rPr>
              <w:t>实践课</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行政效能</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行政效能的含义、影响因素、衡量标准</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行政效率存在的问题及对策</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课堂讲授、小组讨论</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影响行政效率的主要因素有哪些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12</w:t>
            </w:r>
          </w:p>
        </w:tc>
        <w:tc>
          <w:tcPr>
            <w:tcW w:w="16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行政改革与发展</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行政改革的特点、动因、目标、中西方行政改革的特点、趋势</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课堂讲授</w:t>
            </w: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16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宋体" w:hAnsi="宋体"/>
              </w:rPr>
            </w:pPr>
            <w:r>
              <w:rPr>
                <w:rFonts w:hint="eastAsia" w:ascii="宋体" w:hAnsi="宋体"/>
              </w:rPr>
              <w:t>1</w:t>
            </w:r>
          </w:p>
        </w:tc>
        <w:tc>
          <w:tcPr>
            <w:tcW w:w="382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总复习</w:t>
            </w:r>
          </w:p>
        </w:tc>
        <w:tc>
          <w:tcPr>
            <w:tcW w:w="152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p>
        </w:tc>
        <w:tc>
          <w:tcPr>
            <w:tcW w:w="10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249" w:type="dxa"/>
            <w:gridSpan w:val="3"/>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709" w:type="dxa"/>
            <w:gridSpan w:val="2"/>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30</w:t>
            </w:r>
          </w:p>
        </w:tc>
        <w:tc>
          <w:tcPr>
            <w:tcW w:w="3827" w:type="dxa"/>
            <w:gridSpan w:val="4"/>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25" w:type="dxa"/>
            <w:gridSpan w:val="3"/>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shd w:val="clear" w:color="auto" w:fill="C0C0C0"/>
            <w:vAlign w:val="center"/>
          </w:tcPr>
          <w:p>
            <w:pPr>
              <w:keepNext w:val="0"/>
              <w:keepLines w:val="0"/>
              <w:pageBreakBefore w:val="0"/>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9" w:type="dxa"/>
            <w:gridSpan w:val="3"/>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实验项目名称</w:t>
            </w:r>
          </w:p>
        </w:tc>
        <w:tc>
          <w:tcPr>
            <w:tcW w:w="623" w:type="dxa"/>
            <w:gridSpan w:val="2"/>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2410" w:type="dxa"/>
            <w:gridSpan w:val="2"/>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重点与难点</w:t>
            </w:r>
          </w:p>
        </w:tc>
        <w:tc>
          <w:tcPr>
            <w:tcW w:w="1516" w:type="dxa"/>
            <w:gridSpan w:val="2"/>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383" w:type="dxa"/>
            <w:gridSpan w:val="2"/>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c>
          <w:tcPr>
            <w:tcW w:w="1091" w:type="dxa"/>
            <w:tcMar>
              <w:left w:w="28" w:type="dxa"/>
              <w:right w:w="28" w:type="dxa"/>
            </w:tcMar>
            <w:vAlign w:val="center"/>
          </w:tcPr>
          <w:p>
            <w:pPr>
              <w:keepNext w:val="0"/>
              <w:keepLines w:val="0"/>
              <w:pageBreakBefore w:val="0"/>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1729" w:type="dxa"/>
            <w:gridSpan w:val="3"/>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政府的社会职能</w:t>
            </w:r>
          </w:p>
        </w:tc>
        <w:tc>
          <w:tcPr>
            <w:tcW w:w="62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w:t>
            </w:r>
          </w:p>
        </w:tc>
        <w:tc>
          <w:tcPr>
            <w:tcW w:w="241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政</w:t>
            </w:r>
            <w:r>
              <w:rPr>
                <w:rFonts w:ascii="宋体" w:hAnsi="宋体" w:eastAsia="宋体"/>
                <w:sz w:val="21"/>
                <w:szCs w:val="21"/>
                <w:lang w:eastAsia="zh-CN"/>
              </w:rPr>
              <w:t>府在保护儿童权益方面的职能</w:t>
            </w:r>
          </w:p>
        </w:tc>
        <w:tc>
          <w:tcPr>
            <w:tcW w:w="1516"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综合</w:t>
            </w:r>
          </w:p>
        </w:tc>
        <w:tc>
          <w:tcPr>
            <w:tcW w:w="138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案例分析法</w:t>
            </w:r>
          </w:p>
        </w:tc>
        <w:tc>
          <w:tcPr>
            <w:tcW w:w="1091"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4</w:t>
            </w:r>
          </w:p>
        </w:tc>
        <w:tc>
          <w:tcPr>
            <w:tcW w:w="1729" w:type="dxa"/>
            <w:gridSpan w:val="3"/>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政府的组织机构</w:t>
            </w:r>
          </w:p>
        </w:tc>
        <w:tc>
          <w:tcPr>
            <w:tcW w:w="62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w:t>
            </w:r>
          </w:p>
        </w:tc>
        <w:tc>
          <w:tcPr>
            <w:tcW w:w="241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通过政府网站了解、熟悉各级地方政府的组织机构设置、名称、职能等</w:t>
            </w:r>
          </w:p>
        </w:tc>
        <w:tc>
          <w:tcPr>
            <w:tcW w:w="1516"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综合</w:t>
            </w:r>
          </w:p>
        </w:tc>
        <w:tc>
          <w:tcPr>
            <w:tcW w:w="138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学生演示</w:t>
            </w:r>
          </w:p>
        </w:tc>
        <w:tc>
          <w:tcPr>
            <w:tcW w:w="1091"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5</w:t>
            </w:r>
          </w:p>
        </w:tc>
        <w:tc>
          <w:tcPr>
            <w:tcW w:w="1729" w:type="dxa"/>
            <w:gridSpan w:val="3"/>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国家领导人的素质</w:t>
            </w:r>
          </w:p>
        </w:tc>
        <w:tc>
          <w:tcPr>
            <w:tcW w:w="62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2</w:t>
            </w:r>
          </w:p>
        </w:tc>
        <w:tc>
          <w:tcPr>
            <w:tcW w:w="241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主要国家领导人的领导素质、权威</w:t>
            </w:r>
          </w:p>
        </w:tc>
        <w:tc>
          <w:tcPr>
            <w:tcW w:w="1516"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综合</w:t>
            </w:r>
          </w:p>
        </w:tc>
        <w:tc>
          <w:tcPr>
            <w:tcW w:w="138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案例分析法</w:t>
            </w:r>
          </w:p>
        </w:tc>
        <w:tc>
          <w:tcPr>
            <w:tcW w:w="1091"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9</w:t>
            </w:r>
          </w:p>
        </w:tc>
        <w:tc>
          <w:tcPr>
            <w:tcW w:w="1729" w:type="dxa"/>
            <w:gridSpan w:val="3"/>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Theme="majorEastAsia" w:hAnsiTheme="majorEastAsia" w:eastAsiaTheme="majorEastAsia"/>
                <w:sz w:val="21"/>
                <w:szCs w:val="21"/>
                <w:lang w:eastAsia="zh-CN"/>
              </w:rPr>
              <w:t>香港廉政公署反腐</w:t>
            </w:r>
          </w:p>
        </w:tc>
        <w:tc>
          <w:tcPr>
            <w:tcW w:w="62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w:t>
            </w:r>
          </w:p>
        </w:tc>
        <w:tc>
          <w:tcPr>
            <w:tcW w:w="241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Theme="majorEastAsia" w:hAnsiTheme="majorEastAsia" w:eastAsiaTheme="majorEastAsia"/>
                <w:sz w:val="21"/>
                <w:szCs w:val="21"/>
                <w:lang w:eastAsia="zh-CN"/>
              </w:rPr>
              <w:t>香港廉政公署的建立过程、运行过程及给大陆反腐的启示</w:t>
            </w:r>
          </w:p>
        </w:tc>
        <w:tc>
          <w:tcPr>
            <w:tcW w:w="1516"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综合</w:t>
            </w:r>
          </w:p>
        </w:tc>
        <w:tc>
          <w:tcPr>
            <w:tcW w:w="138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学生演示</w:t>
            </w:r>
          </w:p>
        </w:tc>
        <w:tc>
          <w:tcPr>
            <w:tcW w:w="1091"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9"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10</w:t>
            </w:r>
          </w:p>
        </w:tc>
        <w:tc>
          <w:tcPr>
            <w:tcW w:w="1729" w:type="dxa"/>
            <w:gridSpan w:val="3"/>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对法律制度的再认识</w:t>
            </w:r>
          </w:p>
        </w:tc>
        <w:tc>
          <w:tcPr>
            <w:tcW w:w="62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1</w:t>
            </w:r>
          </w:p>
        </w:tc>
        <w:tc>
          <w:tcPr>
            <w:tcW w:w="241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rPr>
              <w:t>良法、优良制度的重要性</w:t>
            </w:r>
          </w:p>
        </w:tc>
        <w:tc>
          <w:tcPr>
            <w:tcW w:w="1516"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ascii="宋体" w:hAnsi="宋体" w:eastAsia="宋体"/>
                <w:sz w:val="21"/>
                <w:szCs w:val="21"/>
              </w:rPr>
              <w:t>综合</w:t>
            </w:r>
          </w:p>
        </w:tc>
        <w:tc>
          <w:tcPr>
            <w:tcW w:w="138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ascii="宋体" w:hAnsi="宋体" w:eastAsia="宋体"/>
                <w:sz w:val="21"/>
                <w:szCs w:val="21"/>
                <w:lang w:eastAsia="zh-CN"/>
              </w:rPr>
              <w:t>案例分析法、小组讨论</w:t>
            </w:r>
          </w:p>
        </w:tc>
        <w:tc>
          <w:tcPr>
            <w:tcW w:w="1091"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8" w:type="dxa"/>
            <w:gridSpan w:val="4"/>
            <w:vAlign w:val="center"/>
          </w:tcPr>
          <w:p>
            <w:pPr>
              <w:keepNext w:val="0"/>
              <w:keepLines w:val="0"/>
              <w:pageBreakBefore w:val="0"/>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sz w:val="21"/>
                <w:szCs w:val="21"/>
              </w:rPr>
              <w:t>合计：</w:t>
            </w:r>
          </w:p>
        </w:tc>
        <w:tc>
          <w:tcPr>
            <w:tcW w:w="62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r>
              <w:rPr>
                <w:rFonts w:hint="eastAsia" w:ascii="宋体" w:hAnsi="宋体" w:eastAsia="宋体"/>
                <w:sz w:val="21"/>
                <w:szCs w:val="21"/>
                <w:lang w:eastAsia="zh-CN"/>
              </w:rPr>
              <w:t>6</w:t>
            </w:r>
          </w:p>
        </w:tc>
        <w:tc>
          <w:tcPr>
            <w:tcW w:w="2410"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16"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383" w:type="dxa"/>
            <w:gridSpan w:val="2"/>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249" w:type="dxa"/>
            <w:gridSpan w:val="3"/>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jc w:val="right"/>
              <w:textAlignment w:val="auto"/>
              <w:rPr>
                <w:rFonts w:ascii="宋体" w:hAnsi="宋体" w:eastAsia="宋体"/>
                <w:b/>
                <w:sz w:val="21"/>
                <w:szCs w:val="21"/>
              </w:rPr>
            </w:pPr>
          </w:p>
        </w:tc>
        <w:tc>
          <w:tcPr>
            <w:tcW w:w="709" w:type="dxa"/>
            <w:gridSpan w:val="2"/>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tc>
        <w:tc>
          <w:tcPr>
            <w:tcW w:w="3827" w:type="dxa"/>
            <w:gridSpan w:val="4"/>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25" w:type="dxa"/>
            <w:gridSpan w:val="3"/>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1" w:type="dxa"/>
            <w:tcBorders>
              <w:top w:val="single" w:color="auto" w:sz="4" w:space="0"/>
            </w:tcBorders>
            <w:vAlign w:val="center"/>
          </w:tcPr>
          <w:p>
            <w:pPr>
              <w:keepNext w:val="0"/>
              <w:keepLines w:val="0"/>
              <w:pageBreakBefore w:val="0"/>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shd w:val="clear" w:color="auto" w:fill="C0C0C0"/>
            <w:vAlign w:val="center"/>
          </w:tcPr>
          <w:p>
            <w:pPr>
              <w:keepNext w:val="0"/>
              <w:keepLines w:val="0"/>
              <w:pageBreakBefore w:val="0"/>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9"/>
            <w:vAlign w:val="center"/>
          </w:tcPr>
          <w:p>
            <w:pPr>
              <w:keepNext w:val="0"/>
              <w:keepLines w:val="0"/>
              <w:pageBreakBefore w:val="0"/>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1" w:type="dxa"/>
            <w:gridSpan w:val="2"/>
            <w:vAlign w:val="center"/>
          </w:tcPr>
          <w:p>
            <w:pPr>
              <w:keepNext w:val="0"/>
              <w:keepLines w:val="0"/>
              <w:pageBreakBefore w:val="0"/>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到堂情况</w:t>
            </w:r>
          </w:p>
        </w:tc>
        <w:tc>
          <w:tcPr>
            <w:tcW w:w="5811" w:type="dxa"/>
            <w:gridSpan w:val="9"/>
            <w:vAlign w:val="center"/>
          </w:tcPr>
          <w:p>
            <w:pPr>
              <w:keepNext w:val="0"/>
              <w:keepLines w:val="0"/>
              <w:pageBreakBefore w:val="0"/>
              <w:kinsoku/>
              <w:wordWrap/>
              <w:overflowPunct/>
              <w:topLinePunct w:val="0"/>
              <w:autoSpaceDE/>
              <w:autoSpaceDN/>
              <w:bidi w:val="0"/>
              <w:adjustRightInd/>
              <w:snapToGrid w:val="0"/>
              <w:spacing w:line="360" w:lineRule="exact"/>
              <w:ind w:left="180"/>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出勤</w:t>
            </w:r>
          </w:p>
        </w:tc>
        <w:tc>
          <w:tcPr>
            <w:tcW w:w="1581" w:type="dxa"/>
            <w:gridSpan w:val="2"/>
            <w:vAlign w:val="center"/>
          </w:tcPr>
          <w:p>
            <w:pPr>
              <w:keepNext w:val="0"/>
              <w:keepLines w:val="0"/>
              <w:pageBreakBefore w:val="0"/>
              <w:kinsoku/>
              <w:wordWrap/>
              <w:overflowPunct/>
              <w:topLinePunct w:val="0"/>
              <w:autoSpaceDE/>
              <w:autoSpaceDN/>
              <w:bidi w:val="0"/>
              <w:adjustRightInd/>
              <w:snapToGrid w:val="0"/>
              <w:spacing w:line="360" w:lineRule="exact"/>
              <w:ind w:left="180"/>
              <w:jc w:val="center"/>
              <w:textAlignment w:val="auto"/>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完成作业</w:t>
            </w:r>
          </w:p>
        </w:tc>
        <w:tc>
          <w:tcPr>
            <w:tcW w:w="5811" w:type="dxa"/>
            <w:gridSpan w:val="9"/>
            <w:vAlign w:val="center"/>
          </w:tcPr>
          <w:p>
            <w:pPr>
              <w:keepNext w:val="0"/>
              <w:keepLines w:val="0"/>
              <w:pageBreakBefore w:val="0"/>
              <w:kinsoku/>
              <w:wordWrap/>
              <w:overflowPunct/>
              <w:topLinePunct w:val="0"/>
              <w:autoSpaceDE/>
              <w:autoSpaceDN/>
              <w:bidi w:val="0"/>
              <w:adjustRightInd/>
              <w:snapToGrid w:val="0"/>
              <w:spacing w:line="360" w:lineRule="exact"/>
              <w:ind w:left="180"/>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正确程度</w:t>
            </w:r>
          </w:p>
        </w:tc>
        <w:tc>
          <w:tcPr>
            <w:tcW w:w="1581" w:type="dxa"/>
            <w:gridSpan w:val="2"/>
            <w:vAlign w:val="center"/>
          </w:tcPr>
          <w:p>
            <w:pPr>
              <w:keepNext w:val="0"/>
              <w:keepLines w:val="0"/>
              <w:pageBreakBefore w:val="0"/>
              <w:kinsoku/>
              <w:wordWrap/>
              <w:overflowPunct/>
              <w:topLinePunct w:val="0"/>
              <w:autoSpaceDE/>
              <w:autoSpaceDN/>
              <w:bidi w:val="0"/>
              <w:adjustRightInd/>
              <w:snapToGrid w:val="0"/>
              <w:spacing w:line="360" w:lineRule="exact"/>
              <w:ind w:left="180"/>
              <w:jc w:val="center"/>
              <w:textAlignment w:val="auto"/>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课堂表现</w:t>
            </w:r>
          </w:p>
        </w:tc>
        <w:tc>
          <w:tcPr>
            <w:tcW w:w="5811" w:type="dxa"/>
            <w:gridSpan w:val="9"/>
            <w:vAlign w:val="center"/>
          </w:tcPr>
          <w:p>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参与积极性</w:t>
            </w:r>
          </w:p>
        </w:tc>
        <w:tc>
          <w:tcPr>
            <w:tcW w:w="1581" w:type="dxa"/>
            <w:gridSpan w:val="2"/>
            <w:vAlign w:val="center"/>
          </w:tcPr>
          <w:p>
            <w:pPr>
              <w:keepNext w:val="0"/>
              <w:keepLines w:val="0"/>
              <w:pageBreakBefore w:val="0"/>
              <w:kinsoku/>
              <w:wordWrap/>
              <w:overflowPunct/>
              <w:topLinePunct w:val="0"/>
              <w:autoSpaceDE/>
              <w:autoSpaceDN/>
              <w:bidi w:val="0"/>
              <w:adjustRightInd/>
              <w:snapToGrid w:val="0"/>
              <w:spacing w:line="360" w:lineRule="exact"/>
              <w:ind w:left="180"/>
              <w:jc w:val="center"/>
              <w:textAlignment w:val="auto"/>
              <w:rPr>
                <w:rFonts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期末考核</w:t>
            </w:r>
          </w:p>
        </w:tc>
        <w:tc>
          <w:tcPr>
            <w:tcW w:w="5811" w:type="dxa"/>
            <w:gridSpan w:val="9"/>
            <w:vAlign w:val="center"/>
          </w:tcPr>
          <w:p>
            <w:pPr>
              <w:keepNext w:val="0"/>
              <w:keepLines w:val="0"/>
              <w:pageBreakBefore w:val="0"/>
              <w:kinsoku/>
              <w:wordWrap/>
              <w:overflowPunct/>
              <w:topLinePunct w:val="0"/>
              <w:autoSpaceDE/>
              <w:autoSpaceDN/>
              <w:bidi w:val="0"/>
              <w:adjustRightInd/>
              <w:snapToGrid w:val="0"/>
              <w:spacing w:line="360" w:lineRule="exact"/>
              <w:jc w:val="center"/>
              <w:textAlignment w:val="auto"/>
              <w:rPr>
                <w:rFonts w:asciiTheme="majorEastAsia" w:hAnsiTheme="majorEastAsia" w:eastAsiaTheme="majorEastAsia"/>
                <w:sz w:val="21"/>
                <w:szCs w:val="21"/>
              </w:rPr>
            </w:pPr>
            <w:r>
              <w:rPr>
                <w:rFonts w:hint="eastAsia" w:asciiTheme="majorEastAsia" w:hAnsiTheme="majorEastAsia" w:eastAsiaTheme="majorEastAsia"/>
                <w:sz w:val="21"/>
                <w:szCs w:val="21"/>
              </w:rPr>
              <w:t>卷面成绩</w:t>
            </w:r>
          </w:p>
        </w:tc>
        <w:tc>
          <w:tcPr>
            <w:tcW w:w="1581" w:type="dxa"/>
            <w:gridSpan w:val="2"/>
            <w:vAlign w:val="center"/>
          </w:tcPr>
          <w:p>
            <w:pPr>
              <w:keepNext w:val="0"/>
              <w:keepLines w:val="0"/>
              <w:pageBreakBefore w:val="0"/>
              <w:kinsoku/>
              <w:wordWrap/>
              <w:overflowPunct/>
              <w:topLinePunct w:val="0"/>
              <w:autoSpaceDE/>
              <w:autoSpaceDN/>
              <w:bidi w:val="0"/>
              <w:adjustRightInd/>
              <w:snapToGrid w:val="0"/>
              <w:spacing w:line="360" w:lineRule="exact"/>
              <w:ind w:left="180"/>
              <w:jc w:val="center"/>
              <w:textAlignment w:val="auto"/>
              <w:rPr>
                <w:rFonts w:ascii="宋体" w:hAnsi="宋体"/>
                <w:szCs w:val="21"/>
              </w:rPr>
            </w:pPr>
            <w:r>
              <w:rPr>
                <w:rFonts w:hint="eastAsia" w:ascii="宋体" w:hAnsi="宋体"/>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3"/>
            <w:vAlign w:val="center"/>
          </w:tcPr>
          <w:p>
            <w:pPr>
              <w:keepNext w:val="0"/>
              <w:keepLines w:val="0"/>
              <w:pageBreakBefore w:val="0"/>
              <w:kinsoku/>
              <w:wordWrap/>
              <w:overflowPunct/>
              <w:topLinePunct w:val="0"/>
              <w:autoSpaceDE/>
              <w:autoSpaceDN/>
              <w:bidi w:val="0"/>
              <w:adjustRightInd/>
              <w:snapToGrid w:val="0"/>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大纲编写时间：2018年9月3日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jc w:val="center"/>
        </w:trPr>
        <w:tc>
          <w:tcPr>
            <w:tcW w:w="9401" w:type="dxa"/>
            <w:gridSpan w:val="13"/>
          </w:tcPr>
          <w:p>
            <w:pPr>
              <w:keepNext w:val="0"/>
              <w:keepLines w:val="0"/>
              <w:pageBreakBefore w:val="0"/>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kinsoku/>
              <w:wordWrap/>
              <w:overflowPunct/>
              <w:topLinePunct w:val="0"/>
              <w:autoSpaceDE/>
              <w:autoSpaceDN/>
              <w:bidi w:val="0"/>
              <w:adjustRightInd/>
              <w:spacing w:line="360" w:lineRule="exact"/>
              <w:ind w:firstLine="949" w:firstLineChars="450"/>
              <w:textAlignment w:val="auto"/>
              <w:rPr>
                <w:rFonts w:ascii="宋体" w:hAnsi="宋体"/>
                <w:szCs w:val="21"/>
                <w:lang w:eastAsia="zh-CN"/>
              </w:rPr>
            </w:pPr>
            <w:r>
              <w:rPr>
                <w:rFonts w:hint="eastAsia" w:ascii="宋体" w:hAnsi="宋体" w:eastAsia="宋体"/>
                <w:b/>
                <w:sz w:val="21"/>
                <w:szCs w:val="21"/>
                <w:lang w:eastAsia="zh-CN"/>
              </w:rPr>
              <w:t xml:space="preserve">    </w:t>
            </w: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keepNext w:val="0"/>
              <w:keepLines w:val="0"/>
              <w:pageBreakBefore w:val="0"/>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kinsoku/>
              <w:wordWrap/>
              <w:overflowPunct/>
              <w:topLinePunct w:val="0"/>
              <w:autoSpaceDE/>
              <w:autoSpaceDN/>
              <w:bidi w:val="0"/>
              <w:adjustRightInd/>
              <w:spacing w:after="0" w:line="360" w:lineRule="exact"/>
              <w:ind w:right="105"/>
              <w:jc w:val="right"/>
              <w:textAlignment w:val="auto"/>
              <w:rPr>
                <w:rFonts w:ascii="宋体" w:hAnsi="宋体" w:eastAsia="宋体"/>
                <w:sz w:val="21"/>
                <w:szCs w:val="21"/>
                <w:lang w:eastAsia="zh-CN"/>
              </w:rPr>
            </w:pPr>
            <w:r>
              <w:rPr>
                <w:rFonts w:hint="eastAsia" w:ascii="宋体" w:hAnsi="宋体" w:eastAsia="宋体"/>
                <w:sz w:val="21"/>
                <w:szCs w:val="21"/>
                <w:lang w:eastAsia="zh-CN"/>
              </w:rPr>
              <w:t>系主任签名：杨少星            日期：2018年 9 月 10 日</w:t>
            </w:r>
          </w:p>
        </w:tc>
      </w:tr>
    </w:tbl>
    <w:p>
      <w:pPr>
        <w:keepNext w:val="0"/>
        <w:keepLines w:val="0"/>
        <w:pageBreakBefore w:val="0"/>
        <w:kinsoku/>
        <w:wordWrap/>
        <w:overflowPunct/>
        <w:topLinePunct w:val="0"/>
        <w:autoSpaceDE/>
        <w:autoSpaceDN/>
        <w:bidi w:val="0"/>
        <w:adjustRightInd/>
        <w:spacing w:line="360" w:lineRule="exact"/>
        <w:textAlignment w:val="auto"/>
        <w:rPr>
          <w:rFonts w:ascii="宋体" w:hAnsi="宋体" w:eastAsia="宋体"/>
          <w:b/>
          <w:sz w:val="21"/>
          <w:szCs w:val="21"/>
          <w:lang w:eastAsia="zh-CN"/>
        </w:rPr>
      </w:pP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55B9E"/>
    <w:rsid w:val="00061F27"/>
    <w:rsid w:val="0006698D"/>
    <w:rsid w:val="00087B74"/>
    <w:rsid w:val="00096851"/>
    <w:rsid w:val="000B626E"/>
    <w:rsid w:val="000C2D4A"/>
    <w:rsid w:val="000C3065"/>
    <w:rsid w:val="000E0AE8"/>
    <w:rsid w:val="00126725"/>
    <w:rsid w:val="00155E5A"/>
    <w:rsid w:val="00171228"/>
    <w:rsid w:val="001962D7"/>
    <w:rsid w:val="001A1863"/>
    <w:rsid w:val="001A6006"/>
    <w:rsid w:val="001B31E9"/>
    <w:rsid w:val="001C62E8"/>
    <w:rsid w:val="001D28E8"/>
    <w:rsid w:val="001E0C49"/>
    <w:rsid w:val="001F20BC"/>
    <w:rsid w:val="002111AE"/>
    <w:rsid w:val="00211D63"/>
    <w:rsid w:val="00212223"/>
    <w:rsid w:val="0021404C"/>
    <w:rsid w:val="00227119"/>
    <w:rsid w:val="002820C9"/>
    <w:rsid w:val="00292265"/>
    <w:rsid w:val="00295D5A"/>
    <w:rsid w:val="002A01FF"/>
    <w:rsid w:val="002E27E1"/>
    <w:rsid w:val="003027D4"/>
    <w:rsid w:val="003044FA"/>
    <w:rsid w:val="003368AC"/>
    <w:rsid w:val="0037561C"/>
    <w:rsid w:val="003C354A"/>
    <w:rsid w:val="003C66D8"/>
    <w:rsid w:val="003E66A6"/>
    <w:rsid w:val="00413BBF"/>
    <w:rsid w:val="00414FC8"/>
    <w:rsid w:val="0045245B"/>
    <w:rsid w:val="00457E42"/>
    <w:rsid w:val="0047284B"/>
    <w:rsid w:val="0048009E"/>
    <w:rsid w:val="004B3994"/>
    <w:rsid w:val="004D79F9"/>
    <w:rsid w:val="004E0481"/>
    <w:rsid w:val="004E7804"/>
    <w:rsid w:val="00520CF0"/>
    <w:rsid w:val="005470CB"/>
    <w:rsid w:val="00552573"/>
    <w:rsid w:val="005639AB"/>
    <w:rsid w:val="0057586F"/>
    <w:rsid w:val="005911D3"/>
    <w:rsid w:val="00596EB3"/>
    <w:rsid w:val="005B5173"/>
    <w:rsid w:val="005F174F"/>
    <w:rsid w:val="005F3A65"/>
    <w:rsid w:val="0063410F"/>
    <w:rsid w:val="0065651C"/>
    <w:rsid w:val="006F6B08"/>
    <w:rsid w:val="007002F9"/>
    <w:rsid w:val="00735FDE"/>
    <w:rsid w:val="00770F0D"/>
    <w:rsid w:val="00776AF2"/>
    <w:rsid w:val="00785779"/>
    <w:rsid w:val="00791C2D"/>
    <w:rsid w:val="007A154B"/>
    <w:rsid w:val="008147FF"/>
    <w:rsid w:val="00815F78"/>
    <w:rsid w:val="008512DF"/>
    <w:rsid w:val="00855020"/>
    <w:rsid w:val="00885EED"/>
    <w:rsid w:val="0088681A"/>
    <w:rsid w:val="00892ADC"/>
    <w:rsid w:val="00896971"/>
    <w:rsid w:val="008F6642"/>
    <w:rsid w:val="00917223"/>
    <w:rsid w:val="00917C66"/>
    <w:rsid w:val="009274BC"/>
    <w:rsid w:val="009349EE"/>
    <w:rsid w:val="00953FB2"/>
    <w:rsid w:val="00982AD1"/>
    <w:rsid w:val="00987775"/>
    <w:rsid w:val="009A2B5C"/>
    <w:rsid w:val="009A3555"/>
    <w:rsid w:val="009B3EAE"/>
    <w:rsid w:val="009B5F6A"/>
    <w:rsid w:val="009C3354"/>
    <w:rsid w:val="009D3079"/>
    <w:rsid w:val="00A16905"/>
    <w:rsid w:val="00A37744"/>
    <w:rsid w:val="00A4303B"/>
    <w:rsid w:val="00A52F79"/>
    <w:rsid w:val="00A54CA1"/>
    <w:rsid w:val="00A721CC"/>
    <w:rsid w:val="00A808B2"/>
    <w:rsid w:val="00A84D68"/>
    <w:rsid w:val="00A85774"/>
    <w:rsid w:val="00AA199F"/>
    <w:rsid w:val="00AB00C2"/>
    <w:rsid w:val="00AC1D9F"/>
    <w:rsid w:val="00AC4A3D"/>
    <w:rsid w:val="00AC6299"/>
    <w:rsid w:val="00AD648F"/>
    <w:rsid w:val="00AE1473"/>
    <w:rsid w:val="00AE48DD"/>
    <w:rsid w:val="00B00FC9"/>
    <w:rsid w:val="00B45CE9"/>
    <w:rsid w:val="00B61635"/>
    <w:rsid w:val="00B906C3"/>
    <w:rsid w:val="00BA65F7"/>
    <w:rsid w:val="00BB35F5"/>
    <w:rsid w:val="00BF25FB"/>
    <w:rsid w:val="00C040A6"/>
    <w:rsid w:val="00C36BCC"/>
    <w:rsid w:val="00C41D05"/>
    <w:rsid w:val="00C5249B"/>
    <w:rsid w:val="00C705DD"/>
    <w:rsid w:val="00C76FA2"/>
    <w:rsid w:val="00CA1AB8"/>
    <w:rsid w:val="00CC4A46"/>
    <w:rsid w:val="00CD2F8F"/>
    <w:rsid w:val="00D15FDF"/>
    <w:rsid w:val="00D23857"/>
    <w:rsid w:val="00D45246"/>
    <w:rsid w:val="00D62B41"/>
    <w:rsid w:val="00D943DD"/>
    <w:rsid w:val="00DA3E47"/>
    <w:rsid w:val="00DB45CF"/>
    <w:rsid w:val="00DB5724"/>
    <w:rsid w:val="00DF5C03"/>
    <w:rsid w:val="00E0505F"/>
    <w:rsid w:val="00E10F12"/>
    <w:rsid w:val="00E40986"/>
    <w:rsid w:val="00E413E8"/>
    <w:rsid w:val="00E53E23"/>
    <w:rsid w:val="00E75530"/>
    <w:rsid w:val="00E84C7D"/>
    <w:rsid w:val="00ED3FCA"/>
    <w:rsid w:val="00F24863"/>
    <w:rsid w:val="00F31667"/>
    <w:rsid w:val="00F617C2"/>
    <w:rsid w:val="00F70F09"/>
    <w:rsid w:val="00F96D96"/>
    <w:rsid w:val="00FE22C8"/>
    <w:rsid w:val="147B3DDE"/>
    <w:rsid w:val="28AD1D92"/>
    <w:rsid w:val="2C23799B"/>
    <w:rsid w:val="431D1397"/>
    <w:rsid w:val="58EB686F"/>
    <w:rsid w:val="62602DFF"/>
    <w:rsid w:val="76CF11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link w:val="15"/>
    <w:qFormat/>
    <w:uiPriority w:val="0"/>
    <w:rPr>
      <w:rFonts w:ascii="宋体" w:hAnsi="Courier New" w:eastAsia="宋体" w:cs="Times New Roman"/>
      <w:kern w:val="2"/>
      <w:sz w:val="24"/>
      <w:lang w:val="en-US" w:eastAsia="zh-CN" w:bidi="ar-SA"/>
    </w:r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纯文本 Char"/>
    <w:basedOn w:val="6"/>
    <w:link w:val="2"/>
    <w:qFormat/>
    <w:uiPriority w:val="0"/>
    <w:rPr>
      <w:rFonts w:ascii="宋体" w:hAnsi="Courier New"/>
      <w:kern w:val="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B78B5-F753-4C4D-89D9-8A5C96C6AE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352</Words>
  <Characters>2007</Characters>
  <Lines>16</Lines>
  <Paragraphs>4</Paragraphs>
  <TotalTime>1083</TotalTime>
  <ScaleCrop>false</ScaleCrop>
  <LinksUpToDate>false</LinksUpToDate>
  <CharactersWithSpaces>2355</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2017-09-01T12:42:00Z</dcterms:created>
  <dc:creator>lenovo</dc:creator>
  <cp:lastModifiedBy>zzz</cp:lastModifiedBy>
  <cp:lastPrinted>2017-01-05T16:24:00Z</cp:lastPrinted>
  <dcterms:modified xsi:type="dcterms:W3CDTF">2018-09-27T08:27:45Z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