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hint="eastAsia" w:ascii="宋体" w:hAnsi="宋体" w:eastAsia="宋体" w:cs="宋体"/>
          <w:b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《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公共事业管理</w:t>
      </w:r>
      <w:r>
        <w:rPr>
          <w:rFonts w:hint="eastAsia" w:ascii="宋体" w:hAnsi="宋体" w:eastAsia="宋体" w:cs="宋体"/>
          <w:b/>
          <w:sz w:val="32"/>
          <w:szCs w:val="32"/>
        </w:rPr>
        <w:t>》课程教学大纲</w:t>
      </w:r>
    </w:p>
    <w:tbl>
      <w:tblPr>
        <w:tblStyle w:val="7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360"/>
        <w:gridCol w:w="369"/>
        <w:gridCol w:w="623"/>
        <w:gridCol w:w="1550"/>
        <w:gridCol w:w="860"/>
        <w:gridCol w:w="1700"/>
        <w:gridCol w:w="709"/>
        <w:gridCol w:w="490"/>
        <w:gridCol w:w="1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公共事业管理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eastAsia" w:ascii="宋体" w:hAnsi="宋体" w:eastAsia="宋体" w:cs="宋体"/>
                <w:b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课程英文名称：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Public Utilities Management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先修课程：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高等数学、管理学、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公共经济学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、公共行政学和社会研究方法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1-12周 星期一5-7节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莞城校区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2407课室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授课对象：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201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行政管理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开课院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法律与社会工作学院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魏红征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13827252296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bill_wei@qq.com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课后答疑，邮件答疑，电话答疑，最后一节课在教室进行答疑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 xml:space="preserve">）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 xml:space="preserve">√ ）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崔运武著.公共事业管理（第三版）[M].北京：高等教育出版社，2015年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420" w:firstLineChars="200"/>
              <w:jc w:val="both"/>
              <w:textAlignment w:val="auto"/>
              <w:outlineLvl w:val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韩国元. 公共事业管理概论[M]. 哈尔滨：哈尔滨工程大学出版社, 2016年.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420" w:firstLineChars="200"/>
              <w:jc w:val="both"/>
              <w:textAlignment w:val="auto"/>
              <w:outlineLvl w:val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王高玲主编. 公共事业管理专业导论[M]. 南京：东南大学出版社, 2014年.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420" w:firstLineChars="200"/>
              <w:jc w:val="both"/>
              <w:textAlignment w:val="auto"/>
              <w:outlineLvl w:val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郑建明，顾湘主编. 公共事业管理[M]. 上海：上海交通大学出版社, 2011年.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420" w:firstLineChars="200"/>
              <w:jc w:val="both"/>
              <w:textAlignment w:val="auto"/>
              <w:outlineLvl w:val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倪星，付景涛. 公共管理学（第3版）[M]. 沈阳：东北财经大学出版社, 2018年. 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420" w:firstLineChars="200"/>
              <w:jc w:val="both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选读《中国行政管理》、《公共管理学报》、《中国社会科学》等期刊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课程简介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420" w:firstLineChars="200"/>
              <w:jc w:val="both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本课程</w:t>
            </w:r>
            <w:r>
              <w:rPr>
                <w:rFonts w:hint="eastAsia" w:ascii="宋体" w:hAnsi="宋体"/>
                <w:sz w:val="21"/>
                <w:szCs w:val="21"/>
              </w:rPr>
              <w:t>是一门公共管理类专业应用性和实践性较强的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宋体" w:hAnsi="宋体"/>
                <w:sz w:val="21"/>
                <w:szCs w:val="21"/>
              </w:rPr>
              <w:t>，课程基于</w:t>
            </w:r>
            <w:r>
              <w:rPr>
                <w:rFonts w:hint="eastAsia"/>
                <w:sz w:val="21"/>
                <w:szCs w:val="21"/>
              </w:rPr>
              <w:t>全球性公共管理变革及中国社会转型背景视角，主要阐述公共事业管理的基本理念、内在规律和具体方法，包括公共事业管理的基础理论、演变历程与前沿观点，公共事业管理的主体对象、基本原则和各类模式，公共事业管理的职责划分、动态管理、绩效评估和运作模式等，着重培养</w:t>
            </w:r>
            <w:r>
              <w:rPr>
                <w:rFonts w:hint="eastAsia" w:ascii="宋体" w:hAnsi="宋体"/>
                <w:sz w:val="21"/>
                <w:szCs w:val="21"/>
              </w:rPr>
              <w:t>学生具备公共理念，依据所学知识分析和解决公共事业管理实际问题的能力。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401" w:type="dxa"/>
            <w:gridSpan w:val="10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课程教学目标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420" w:firstLineChars="200"/>
              <w:jc w:val="both"/>
              <w:textAlignment w:val="auto"/>
              <w:outlineLvl w:val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结合专业培养目标，提出本课程要达到的目标。这些目标包括：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420" w:firstLineChars="200"/>
              <w:jc w:val="both"/>
              <w:textAlignment w:val="auto"/>
              <w:outlineLvl w:val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了解国内外公共事业管理领域的具体实践经验以及发展趋势，认识推动公共事业管理变革对于我国经济社会发展转型的重要性，理解公共事业管理基本理念和基础理论，掌握公共事业管理的一般内容、原则、技术和方法。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420" w:firstLineChars="200"/>
              <w:jc w:val="both"/>
              <w:textAlignment w:val="auto"/>
              <w:outlineLvl w:val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运用所学知识，结合中国社会实际情况，识别中国公共事业管理现实问题的成因、确认和解决的一般过程；通过实际调查、案例分析和课堂讨论等方法，使学具有独立思考和解决这些公共事业管理实际问题能力，着重培养学生创造性思维、实践技能和社会适应能力，为进一步学习或从事相关方面工作奠定必要基础。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420" w:firstLineChars="200"/>
              <w:jc w:val="both"/>
              <w:textAlignment w:val="auto"/>
              <w:outlineLvl w:val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采用一体化教学设计理念，增强学生人文关怀精神与社会责任感，树立公共管理者基本职业道德和理念，正确客观的评判政府与公共政策，不偏激对待社会问题，拥有积极健康的公共价值观。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4110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9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公共事业管理学科发展背景</w:t>
            </w:r>
          </w:p>
        </w:tc>
        <w:tc>
          <w:tcPr>
            <w:tcW w:w="623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110" w:type="dxa"/>
            <w:gridSpan w:val="3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重点：</w:t>
            </w:r>
            <w:r>
              <w:rPr>
                <w:rFonts w:hint="eastAsia" w:ascii="宋体" w:hAnsi="宋体"/>
                <w:sz w:val="21"/>
                <w:szCs w:val="21"/>
              </w:rPr>
              <w:t>公共事业管理学科源起与大发展的背景</w:t>
            </w:r>
          </w:p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难点：</w:t>
            </w:r>
            <w:r>
              <w:rPr>
                <w:rFonts w:hint="eastAsia" w:ascii="宋体" w:hAnsi="宋体"/>
                <w:sz w:val="21"/>
                <w:szCs w:val="21"/>
              </w:rPr>
              <w:t>了解公共事业管理变革的现实性与必要性</w:t>
            </w:r>
          </w:p>
        </w:tc>
        <w:tc>
          <w:tcPr>
            <w:tcW w:w="1199" w:type="dxa"/>
            <w:gridSpan w:val="2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b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课堂讲授</w:t>
            </w:r>
          </w:p>
        </w:tc>
        <w:tc>
          <w:tcPr>
            <w:tcW w:w="109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公共事业管理基本元素</w:t>
            </w:r>
          </w:p>
        </w:tc>
        <w:tc>
          <w:tcPr>
            <w:tcW w:w="623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110" w:type="dxa"/>
            <w:gridSpan w:val="3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重点：</w:t>
            </w:r>
            <w:r>
              <w:rPr>
                <w:rFonts w:hint="eastAsia" w:ascii="宋体" w:hAnsi="宋体"/>
                <w:sz w:val="21"/>
                <w:szCs w:val="21"/>
              </w:rPr>
              <w:t>公共性的产生机理、公共事务及公共事业外延</w:t>
            </w:r>
          </w:p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难点：</w:t>
            </w:r>
            <w:r>
              <w:rPr>
                <w:rFonts w:hint="eastAsia" w:ascii="宋体" w:hAnsi="宋体"/>
                <w:sz w:val="21"/>
                <w:szCs w:val="21"/>
              </w:rPr>
              <w:t>明确公共性的基本涵义及特征</w:t>
            </w:r>
          </w:p>
        </w:tc>
        <w:tc>
          <w:tcPr>
            <w:tcW w:w="1199" w:type="dxa"/>
            <w:gridSpan w:val="2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课堂讲授、课堂讨论</w:t>
            </w:r>
          </w:p>
        </w:tc>
        <w:tc>
          <w:tcPr>
            <w:tcW w:w="109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公共事业管理对象</w:t>
            </w:r>
          </w:p>
        </w:tc>
        <w:tc>
          <w:tcPr>
            <w:tcW w:w="623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110" w:type="dxa"/>
            <w:gridSpan w:val="3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重点：</w:t>
            </w:r>
            <w:r>
              <w:rPr>
                <w:rFonts w:hint="eastAsia" w:ascii="宋体" w:hAnsi="宋体"/>
                <w:sz w:val="21"/>
                <w:szCs w:val="21"/>
              </w:rPr>
              <w:t>公共产品理论的涵义及分类</w:t>
            </w:r>
          </w:p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难点：掌握公共产品的特征及划分方法</w:t>
            </w:r>
          </w:p>
        </w:tc>
        <w:tc>
          <w:tcPr>
            <w:tcW w:w="1199" w:type="dxa"/>
            <w:gridSpan w:val="2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课堂讲授</w:t>
            </w:r>
          </w:p>
        </w:tc>
        <w:tc>
          <w:tcPr>
            <w:tcW w:w="109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练习题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公共事业管理主体</w:t>
            </w:r>
          </w:p>
        </w:tc>
        <w:tc>
          <w:tcPr>
            <w:tcW w:w="623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110" w:type="dxa"/>
            <w:gridSpan w:val="3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重点：</w:t>
            </w:r>
            <w:r>
              <w:rPr>
                <w:rFonts w:hint="eastAsia" w:ascii="宋体" w:hAnsi="宋体"/>
                <w:sz w:val="21"/>
                <w:szCs w:val="21"/>
              </w:rPr>
              <w:t>公共组织的涵义及分类</w:t>
            </w:r>
          </w:p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难点：</w:t>
            </w:r>
            <w:r>
              <w:rPr>
                <w:rFonts w:hint="eastAsia" w:ascii="宋体" w:hAnsi="宋体"/>
                <w:sz w:val="21"/>
                <w:szCs w:val="21"/>
              </w:rPr>
              <w:t>掌握非营利性组织的特征与作用</w:t>
            </w:r>
          </w:p>
        </w:tc>
        <w:tc>
          <w:tcPr>
            <w:tcW w:w="1199" w:type="dxa"/>
            <w:gridSpan w:val="2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课堂讲授</w:t>
            </w:r>
          </w:p>
        </w:tc>
        <w:tc>
          <w:tcPr>
            <w:tcW w:w="109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公共事业管理环境分析</w:t>
            </w:r>
          </w:p>
        </w:tc>
        <w:tc>
          <w:tcPr>
            <w:tcW w:w="623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110" w:type="dxa"/>
            <w:gridSpan w:val="3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重点：</w:t>
            </w:r>
            <w:r>
              <w:rPr>
                <w:rFonts w:hint="eastAsia" w:ascii="宋体" w:hAnsi="宋体"/>
                <w:sz w:val="21"/>
                <w:szCs w:val="21"/>
              </w:rPr>
              <w:t>公共事业管理环境划分方法、自然环境及社会环境的影响</w:t>
            </w:r>
          </w:p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难点：</w:t>
            </w:r>
            <w:r>
              <w:rPr>
                <w:rFonts w:hint="eastAsia" w:ascii="宋体" w:hAnsi="宋体"/>
                <w:sz w:val="21"/>
                <w:szCs w:val="21"/>
              </w:rPr>
              <w:t>掌握非营利性组织的特征与作用</w:t>
            </w:r>
          </w:p>
        </w:tc>
        <w:tc>
          <w:tcPr>
            <w:tcW w:w="1199" w:type="dxa"/>
            <w:gridSpan w:val="2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课堂讲授</w:t>
            </w:r>
          </w:p>
        </w:tc>
        <w:tc>
          <w:tcPr>
            <w:tcW w:w="109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公共事业管理基本原则</w:t>
            </w:r>
          </w:p>
        </w:tc>
        <w:tc>
          <w:tcPr>
            <w:tcW w:w="623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110" w:type="dxa"/>
            <w:gridSpan w:val="3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重点：</w:t>
            </w:r>
            <w:r>
              <w:rPr>
                <w:rFonts w:hint="eastAsia" w:ascii="宋体" w:hAnsi="宋体"/>
                <w:sz w:val="21"/>
                <w:szCs w:val="21"/>
              </w:rPr>
              <w:t>以人为本原则、社会效益优先原则的内涵</w:t>
            </w:r>
          </w:p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难点：</w:t>
            </w:r>
            <w:r>
              <w:rPr>
                <w:rFonts w:hint="eastAsia" w:ascii="宋体" w:hAnsi="宋体"/>
                <w:sz w:val="21"/>
                <w:szCs w:val="21"/>
              </w:rPr>
              <w:t>掌握各项原则的内涵及适用方法</w:t>
            </w:r>
          </w:p>
        </w:tc>
        <w:tc>
          <w:tcPr>
            <w:tcW w:w="1199" w:type="dxa"/>
            <w:gridSpan w:val="2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课堂讲授</w:t>
            </w:r>
          </w:p>
        </w:tc>
        <w:tc>
          <w:tcPr>
            <w:tcW w:w="109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练习题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公共事业管理基本职能</w:t>
            </w:r>
          </w:p>
        </w:tc>
        <w:tc>
          <w:tcPr>
            <w:tcW w:w="623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110" w:type="dxa"/>
            <w:gridSpan w:val="3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重点：</w:t>
            </w:r>
            <w:r>
              <w:rPr>
                <w:rFonts w:hint="eastAsia" w:ascii="宋体" w:hAnsi="宋体"/>
                <w:sz w:val="21"/>
                <w:szCs w:val="21"/>
              </w:rPr>
              <w:t>公共事业管理职能划分、基本职能的涵义及内容</w:t>
            </w:r>
          </w:p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难点：良好掌握所学内容</w:t>
            </w:r>
          </w:p>
        </w:tc>
        <w:tc>
          <w:tcPr>
            <w:tcW w:w="1199" w:type="dxa"/>
            <w:gridSpan w:val="2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课堂讲授、课堂讨论</w:t>
            </w:r>
          </w:p>
        </w:tc>
        <w:tc>
          <w:tcPr>
            <w:tcW w:w="109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公共事业管理基本模式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11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重点：</w:t>
            </w:r>
            <w:r>
              <w:rPr>
                <w:rFonts w:hint="eastAsia" w:ascii="宋体" w:hAnsi="宋体"/>
                <w:sz w:val="21"/>
                <w:szCs w:val="21"/>
              </w:rPr>
              <w:t>公共项目的实施及公共事业管理模式组合</w:t>
            </w:r>
          </w:p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难点：</w:t>
            </w:r>
            <w:r>
              <w:rPr>
                <w:rFonts w:hint="eastAsia" w:ascii="宋体" w:hAnsi="宋体"/>
                <w:sz w:val="21"/>
                <w:szCs w:val="21"/>
              </w:rPr>
              <w:t>了解公共事业管理的一般模式及常用手段</w:t>
            </w:r>
          </w:p>
        </w:tc>
        <w:tc>
          <w:tcPr>
            <w:tcW w:w="119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课堂讲授</w:t>
            </w:r>
          </w:p>
        </w:tc>
        <w:tc>
          <w:tcPr>
            <w:tcW w:w="1091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公共事业管理配置效率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11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重点：</w:t>
            </w:r>
            <w:r>
              <w:rPr>
                <w:rFonts w:hint="eastAsia" w:ascii="宋体" w:hAnsi="宋体"/>
                <w:sz w:val="21"/>
                <w:szCs w:val="21"/>
              </w:rPr>
              <w:t>配置效率的涵义，公共产品配置效率的分析</w:t>
            </w:r>
          </w:p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难点：</w:t>
            </w:r>
            <w:r>
              <w:rPr>
                <w:rFonts w:hint="eastAsia" w:ascii="宋体" w:hAnsi="宋体"/>
                <w:sz w:val="21"/>
                <w:szCs w:val="21"/>
              </w:rPr>
              <w:t>理解社会总收益与效率损失的成因</w:t>
            </w:r>
          </w:p>
        </w:tc>
        <w:tc>
          <w:tcPr>
            <w:tcW w:w="119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课堂讲授</w:t>
            </w:r>
          </w:p>
        </w:tc>
        <w:tc>
          <w:tcPr>
            <w:tcW w:w="1091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练习题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公共事业管理责任伦理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1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重点：</w:t>
            </w:r>
            <w:r>
              <w:rPr>
                <w:rFonts w:hint="eastAsia" w:ascii="宋体" w:hAnsi="宋体"/>
                <w:sz w:val="21"/>
                <w:szCs w:val="21"/>
              </w:rPr>
              <w:t>公共事业管理责任控制机制、公共事业管理伦理内容</w:t>
            </w:r>
          </w:p>
          <w:p>
            <w:pPr>
              <w:spacing w:line="240" w:lineRule="auto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难点：</w:t>
            </w:r>
            <w:r>
              <w:rPr>
                <w:rFonts w:hint="eastAsia" w:ascii="宋体" w:hAnsi="宋体"/>
                <w:sz w:val="21"/>
                <w:szCs w:val="21"/>
              </w:rPr>
              <w:t>了解实现公共责任及伦理的创新思路</w:t>
            </w:r>
          </w:p>
        </w:tc>
        <w:tc>
          <w:tcPr>
            <w:tcW w:w="11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课堂讲授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8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240" w:lineRule="auto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411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9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240" w:lineRule="auto"/>
              <w:jc w:val="center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学时</w:t>
            </w:r>
          </w:p>
        </w:tc>
        <w:tc>
          <w:tcPr>
            <w:tcW w:w="241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重点与难点</w:t>
            </w:r>
          </w:p>
        </w:tc>
        <w:tc>
          <w:tcPr>
            <w:tcW w:w="170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19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</w:t>
            </w:r>
          </w:p>
          <w:p>
            <w:pPr>
              <w:spacing w:after="0" w:line="240" w:lineRule="auto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公共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产品的识别与定性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spacing w:after="0" w:line="240" w:lineRule="auto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掌握公共产品属性分析思路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与方法</w:t>
            </w:r>
          </w:p>
        </w:tc>
        <w:tc>
          <w:tcPr>
            <w:tcW w:w="1700" w:type="dxa"/>
            <w:vAlign w:val="center"/>
          </w:tcPr>
          <w:p>
            <w:pPr>
              <w:spacing w:after="0" w:line="240" w:lineRule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199" w:type="dxa"/>
            <w:gridSpan w:val="2"/>
            <w:vAlign w:val="center"/>
          </w:tcPr>
          <w:p>
            <w:pPr>
              <w:spacing w:after="0" w:line="240" w:lineRule="auto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实际对象分析与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小组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</w:t>
            </w:r>
          </w:p>
        </w:tc>
        <w:tc>
          <w:tcPr>
            <w:tcW w:w="1091" w:type="dxa"/>
            <w:vAlign w:val="center"/>
          </w:tcPr>
          <w:p>
            <w:pPr>
              <w:spacing w:after="0" w:line="240" w:lineRule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line="240" w:lineRule="auto"/>
              <w:jc w:val="both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公共事业管理分类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研究</w:t>
            </w:r>
            <w:r>
              <w:rPr>
                <w:rFonts w:hint="eastAsia" w:ascii="宋体" w:hAnsi="宋体"/>
                <w:sz w:val="21"/>
                <w:szCs w:val="21"/>
              </w:rPr>
              <w:t>（上）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运用所学知识分析医疗、体育、文化等公共事业管理特点及具体案例或者现象。</w:t>
            </w:r>
          </w:p>
        </w:tc>
        <w:tc>
          <w:tcPr>
            <w:tcW w:w="1700" w:type="dxa"/>
            <w:vAlign w:val="center"/>
          </w:tcPr>
          <w:p>
            <w:pPr>
              <w:spacing w:after="0" w:line="240" w:lineRule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199" w:type="dxa"/>
            <w:gridSpan w:val="2"/>
            <w:vAlign w:val="center"/>
          </w:tcPr>
          <w:p>
            <w:pPr>
              <w:spacing w:after="0" w:line="24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资料查找实训与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小组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1091" w:type="dxa"/>
            <w:vAlign w:val="center"/>
          </w:tcPr>
          <w:p>
            <w:pPr>
              <w:spacing w:after="0" w:line="240" w:lineRule="auto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line="240" w:lineRule="auto"/>
              <w:jc w:val="both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公共事业管理分类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研究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下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spacing w:line="240" w:lineRule="auto"/>
              <w:jc w:val="both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运用所学知识分析科技、教育等公共事业管理特点及具体案例或者现象。</w:t>
            </w:r>
          </w:p>
        </w:tc>
        <w:tc>
          <w:tcPr>
            <w:tcW w:w="1700" w:type="dxa"/>
            <w:vAlign w:val="center"/>
          </w:tcPr>
          <w:p>
            <w:pPr>
              <w:spacing w:after="0" w:line="240" w:lineRule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199" w:type="dxa"/>
            <w:gridSpan w:val="2"/>
            <w:vAlign w:val="center"/>
          </w:tcPr>
          <w:p>
            <w:pPr>
              <w:spacing w:after="0" w:line="24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资料查找实训与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小组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1091" w:type="dxa"/>
            <w:vAlign w:val="center"/>
          </w:tcPr>
          <w:p>
            <w:pPr>
              <w:spacing w:after="0" w:line="240" w:lineRule="auto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8" w:type="dxa"/>
            <w:gridSpan w:val="3"/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99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到堂情况</w:t>
            </w:r>
          </w:p>
        </w:tc>
        <w:tc>
          <w:tcPr>
            <w:tcW w:w="581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准时参与课程教学活动。未请假缺席，扣除相应比例的考勤分值。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课堂讨论</w:t>
            </w:r>
          </w:p>
        </w:tc>
        <w:tc>
          <w:tcPr>
            <w:tcW w:w="581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积极参与课堂讨论、回答教师提问、发言清晰洪亮、观点新颖深刻为教师给分的主要依据。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按时按量完成，态度认真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结合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质量判定评分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期末考试</w:t>
            </w:r>
          </w:p>
        </w:tc>
        <w:tc>
          <w:tcPr>
            <w:tcW w:w="581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综合考核学生对公共事业管理知识理解与运用能力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大纲编写时间：201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年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9" w:hRule="atLeast"/>
          <w:jc w:val="center"/>
        </w:trPr>
        <w:tc>
          <w:tcPr>
            <w:tcW w:w="9401" w:type="dxa"/>
            <w:gridSpan w:val="10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系（部）审查意见：</w:t>
            </w:r>
          </w:p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本系已对本课程教学大纲进行了审查，同意执行。</w:t>
            </w:r>
          </w:p>
          <w:p>
            <w:pPr>
              <w:spacing w:after="0" w:line="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105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系主任签名：杨少星            日期：201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年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月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日</w:t>
            </w:r>
          </w:p>
        </w:tc>
      </w:tr>
    </w:tbl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C23799B"/>
    <w:rsid w:val="00061F27"/>
    <w:rsid w:val="0006698D"/>
    <w:rsid w:val="00087B74"/>
    <w:rsid w:val="000B626E"/>
    <w:rsid w:val="000C2D4A"/>
    <w:rsid w:val="000C3065"/>
    <w:rsid w:val="000E0AE8"/>
    <w:rsid w:val="00155E5A"/>
    <w:rsid w:val="00171228"/>
    <w:rsid w:val="001B31E9"/>
    <w:rsid w:val="001C62E8"/>
    <w:rsid w:val="001D28E8"/>
    <w:rsid w:val="001E0C49"/>
    <w:rsid w:val="001F20BC"/>
    <w:rsid w:val="002111AE"/>
    <w:rsid w:val="00227119"/>
    <w:rsid w:val="002E27E1"/>
    <w:rsid w:val="003027D4"/>
    <w:rsid w:val="003044FA"/>
    <w:rsid w:val="0037561C"/>
    <w:rsid w:val="003C354A"/>
    <w:rsid w:val="003C66D8"/>
    <w:rsid w:val="003E66A6"/>
    <w:rsid w:val="00414FC8"/>
    <w:rsid w:val="00457E42"/>
    <w:rsid w:val="0048009E"/>
    <w:rsid w:val="004B3994"/>
    <w:rsid w:val="004D79F9"/>
    <w:rsid w:val="004E0481"/>
    <w:rsid w:val="004E7804"/>
    <w:rsid w:val="005639AB"/>
    <w:rsid w:val="005911D3"/>
    <w:rsid w:val="005B5173"/>
    <w:rsid w:val="005F174F"/>
    <w:rsid w:val="0063410F"/>
    <w:rsid w:val="0065651C"/>
    <w:rsid w:val="006F6B08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A3555"/>
    <w:rsid w:val="009B3EAE"/>
    <w:rsid w:val="009C3354"/>
    <w:rsid w:val="009D3079"/>
    <w:rsid w:val="00A37744"/>
    <w:rsid w:val="00A84D68"/>
    <w:rsid w:val="00A85774"/>
    <w:rsid w:val="00AA199F"/>
    <w:rsid w:val="00AB00C2"/>
    <w:rsid w:val="00AC6299"/>
    <w:rsid w:val="00AE1473"/>
    <w:rsid w:val="00AE48DD"/>
    <w:rsid w:val="00BB35F5"/>
    <w:rsid w:val="00C41D05"/>
    <w:rsid w:val="00C705DD"/>
    <w:rsid w:val="00C76FA2"/>
    <w:rsid w:val="00CA1AB8"/>
    <w:rsid w:val="00CC4A46"/>
    <w:rsid w:val="00CD2F8F"/>
    <w:rsid w:val="00D15FDF"/>
    <w:rsid w:val="00D23857"/>
    <w:rsid w:val="00D45246"/>
    <w:rsid w:val="00D62B41"/>
    <w:rsid w:val="00DB45CF"/>
    <w:rsid w:val="00DB5724"/>
    <w:rsid w:val="00DF5C03"/>
    <w:rsid w:val="00E0505F"/>
    <w:rsid w:val="00E413E8"/>
    <w:rsid w:val="00E53E23"/>
    <w:rsid w:val="00E84C7D"/>
    <w:rsid w:val="00ED3FCA"/>
    <w:rsid w:val="00F31667"/>
    <w:rsid w:val="00F617C2"/>
    <w:rsid w:val="00F96D96"/>
    <w:rsid w:val="00FE22C8"/>
    <w:rsid w:val="06CB7803"/>
    <w:rsid w:val="08FB7775"/>
    <w:rsid w:val="0A1F1208"/>
    <w:rsid w:val="0C7D2A7A"/>
    <w:rsid w:val="0EED63AC"/>
    <w:rsid w:val="108F2BA0"/>
    <w:rsid w:val="13326640"/>
    <w:rsid w:val="1C8A5EE7"/>
    <w:rsid w:val="240A436C"/>
    <w:rsid w:val="28AD1D92"/>
    <w:rsid w:val="2C23799B"/>
    <w:rsid w:val="2D11792B"/>
    <w:rsid w:val="2DEC1CC1"/>
    <w:rsid w:val="2DF07BC7"/>
    <w:rsid w:val="37AD7F8C"/>
    <w:rsid w:val="402933BB"/>
    <w:rsid w:val="40330087"/>
    <w:rsid w:val="45A31C02"/>
    <w:rsid w:val="49A662EC"/>
    <w:rsid w:val="52146619"/>
    <w:rsid w:val="57091E7D"/>
    <w:rsid w:val="5762417F"/>
    <w:rsid w:val="58316BD0"/>
    <w:rsid w:val="583D4D2F"/>
    <w:rsid w:val="5BE0490A"/>
    <w:rsid w:val="5FBB5EE0"/>
    <w:rsid w:val="62602DFF"/>
    <w:rsid w:val="6A093E55"/>
    <w:rsid w:val="6BE611DB"/>
    <w:rsid w:val="755F2F29"/>
    <w:rsid w:val="7A55428A"/>
    <w:rsid w:val="7BCD2A01"/>
    <w:rsid w:val="7E465FD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qFormat/>
    <w:uiPriority w:val="0"/>
    <w:rPr>
      <w:rFonts w:ascii="宋体" w:hAnsi="Courier New" w:eastAsia="宋体" w:cs="Times New Roman"/>
      <w:kern w:val="2"/>
      <w:sz w:val="24"/>
      <w:szCs w:val="22"/>
      <w:lang w:val="en-US" w:eastAsia="zh-CN" w:bidi="ar-SA"/>
    </w:rPr>
  </w:style>
  <w:style w:type="paragraph" w:styleId="3">
    <w:name w:val="Balloon Text"/>
    <w:basedOn w:val="1"/>
    <w:link w:val="14"/>
    <w:qFormat/>
    <w:uiPriority w:val="0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10">
    <w:name w:val="fontstyle01"/>
    <w:basedOn w:val="6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1">
    <w:name w:val="页眉 Char"/>
    <w:basedOn w:val="6"/>
    <w:link w:val="5"/>
    <w:qFormat/>
    <w:uiPriority w:val="0"/>
    <w:rPr>
      <w:rFonts w:eastAsia="PMingLiU"/>
      <w:sz w:val="18"/>
      <w:szCs w:val="18"/>
      <w:lang w:eastAsia="en-US"/>
    </w:rPr>
  </w:style>
  <w:style w:type="character" w:customStyle="1" w:styleId="12">
    <w:name w:val="页脚 Char"/>
    <w:basedOn w:val="6"/>
    <w:link w:val="4"/>
    <w:qFormat/>
    <w:uiPriority w:val="0"/>
    <w:rPr>
      <w:rFonts w:eastAsia="PMingLiU"/>
      <w:sz w:val="18"/>
      <w:szCs w:val="18"/>
      <w:lang w:eastAsia="en-US"/>
    </w:rPr>
  </w:style>
  <w:style w:type="paragraph" w:customStyle="1" w:styleId="13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4">
    <w:name w:val="批注框文本 Char"/>
    <w:basedOn w:val="6"/>
    <w:link w:val="3"/>
    <w:qFormat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4B78B5-F753-4C4D-89D9-8A5C96C6AE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131</Words>
  <Characters>750</Characters>
  <Lines>6</Lines>
  <Paragraphs>1</Paragraphs>
  <TotalTime>3</TotalTime>
  <ScaleCrop>false</ScaleCrop>
  <LinksUpToDate>false</LinksUpToDate>
  <CharactersWithSpaces>880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David</cp:lastModifiedBy>
  <cp:lastPrinted>2017-01-05T16:24:00Z</cp:lastPrinted>
  <dcterms:modified xsi:type="dcterms:W3CDTF">2018-09-07T09:17:17Z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