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Theme="minorEastAsia"/>
          <w:b/>
          <w:sz w:val="32"/>
          <w:szCs w:val="32"/>
          <w:lang w:eastAsia="zh-CN"/>
        </w:rPr>
      </w:pPr>
      <w:bookmarkStart w:id="0" w:name="_GoBack"/>
      <w:r>
        <w:rPr>
          <w:rFonts w:hint="eastAsia" w:ascii="宋体" w:hAnsi="宋体"/>
          <w:b/>
          <w:sz w:val="32"/>
          <w:szCs w:val="32"/>
          <w:lang w:eastAsia="zh-CN"/>
        </w:rPr>
        <w:t>《</w:t>
      </w:r>
      <w:r>
        <w:rPr>
          <w:rFonts w:hint="eastAsia" w:ascii="宋体" w:hAnsi="宋体" w:eastAsia="宋体" w:cs="宋体"/>
          <w:b/>
          <w:sz w:val="32"/>
          <w:szCs w:val="32"/>
          <w:lang w:eastAsia="zh-CN"/>
        </w:rPr>
        <w:t>公共管理学概论</w:t>
      </w:r>
      <w:r>
        <w:rPr>
          <w:rFonts w:hint="eastAsia" w:ascii="宋体" w:hAnsi="宋体"/>
          <w:b/>
          <w:sz w:val="32"/>
          <w:szCs w:val="32"/>
          <w:lang w:eastAsia="zh-CN"/>
        </w:rPr>
        <w:t>》课程教学大纲</w:t>
      </w:r>
    </w:p>
    <w:tbl>
      <w:tblPr>
        <w:tblStyle w:val="6"/>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1360"/>
        <w:gridCol w:w="369"/>
        <w:gridCol w:w="722"/>
        <w:gridCol w:w="1451"/>
        <w:gridCol w:w="2376"/>
        <w:gridCol w:w="893"/>
        <w:gridCol w:w="490"/>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1"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课程名称：</w:t>
            </w:r>
            <w:r>
              <w:rPr>
                <w:rFonts w:hint="eastAsia" w:ascii="宋体" w:hAnsi="宋体" w:eastAsia="宋体"/>
                <w:sz w:val="21"/>
                <w:szCs w:val="21"/>
                <w:lang w:eastAsia="zh-CN"/>
              </w:rPr>
              <w:t>公共管理学概论</w:t>
            </w:r>
          </w:p>
        </w:tc>
        <w:tc>
          <w:tcPr>
            <w:tcW w:w="4850" w:type="dxa"/>
            <w:gridSpan w:val="4"/>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sz w:val="21"/>
                <w:szCs w:val="21"/>
                <w:lang w:eastAsia="zh-CN"/>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rPr>
            </w:pPr>
            <w:r>
              <w:rPr>
                <w:rFonts w:hint="eastAsia" w:ascii="宋体" w:hAnsi="宋体" w:eastAsia="宋体"/>
                <w:b/>
                <w:sz w:val="21"/>
                <w:szCs w:val="21"/>
              </w:rPr>
              <w:t>课程英文名称：</w:t>
            </w:r>
            <w:r>
              <w:rPr>
                <w:rFonts w:hint="eastAsia" w:eastAsia="宋体"/>
                <w:sz w:val="21"/>
                <w:szCs w:val="21"/>
              </w:rPr>
              <w:t>introduction to public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1"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r>
              <w:rPr>
                <w:rFonts w:hint="eastAsia" w:ascii="宋体" w:hAnsi="宋体" w:eastAsia="宋体"/>
                <w:b/>
                <w:sz w:val="21"/>
                <w:szCs w:val="21"/>
              </w:rPr>
              <w:t>总学时/周学时/学分：</w:t>
            </w:r>
            <w:r>
              <w:rPr>
                <w:rFonts w:ascii="宋体" w:hAnsi="宋体" w:eastAsia="宋体"/>
                <w:sz w:val="21"/>
                <w:szCs w:val="21"/>
              </w:rPr>
              <w:t>36/2/2</w:t>
            </w:r>
          </w:p>
        </w:tc>
        <w:tc>
          <w:tcPr>
            <w:tcW w:w="4850" w:type="dxa"/>
            <w:gridSpan w:val="4"/>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sz w:val="21"/>
                <w:szCs w:val="21"/>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b/>
                <w:sz w:val="21"/>
                <w:szCs w:val="21"/>
                <w:lang w:eastAsia="zh-CN"/>
              </w:rPr>
            </w:pPr>
            <w:r>
              <w:rPr>
                <w:rFonts w:hint="eastAsia" w:ascii="宋体" w:hAnsi="宋体" w:eastAsia="宋体"/>
                <w:b/>
                <w:sz w:val="21"/>
                <w:szCs w:val="21"/>
              </w:rPr>
              <w:t xml:space="preserve">先修课程： </w:t>
            </w:r>
            <w:r>
              <w:rPr>
                <w:rFonts w:hint="eastAsia" w:ascii="宋体" w:hAnsi="宋体" w:eastAsia="宋体"/>
                <w:sz w:val="21"/>
                <w:szCs w:val="21"/>
              </w:rPr>
              <w:t>管理学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1"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sz w:val="21"/>
                <w:szCs w:val="21"/>
                <w:lang w:val="en-US" w:eastAsia="zh-CN"/>
              </w:rPr>
            </w:pPr>
            <w:r>
              <w:rPr>
                <w:rFonts w:hint="eastAsia" w:ascii="宋体" w:hAnsi="宋体" w:eastAsia="宋体"/>
                <w:b/>
                <w:sz w:val="21"/>
                <w:szCs w:val="21"/>
              </w:rPr>
              <w:t>授课时间：</w:t>
            </w:r>
            <w:r>
              <w:rPr>
                <w:rFonts w:hint="eastAsia" w:ascii="宋体" w:hAnsi="宋体" w:eastAsia="宋体"/>
                <w:sz w:val="21"/>
                <w:szCs w:val="21"/>
              </w:rPr>
              <w:t>周三</w:t>
            </w:r>
            <w:r>
              <w:rPr>
                <w:rFonts w:hint="eastAsia" w:ascii="宋体" w:hAnsi="宋体" w:eastAsia="宋体"/>
                <w:sz w:val="21"/>
                <w:szCs w:val="21"/>
                <w:lang w:val="en-US" w:eastAsia="zh-CN"/>
              </w:rPr>
              <w:t>3-4节</w:t>
            </w:r>
          </w:p>
        </w:tc>
        <w:tc>
          <w:tcPr>
            <w:tcW w:w="4850" w:type="dxa"/>
            <w:gridSpan w:val="4"/>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sz w:val="21"/>
                <w:szCs w:val="21"/>
                <w:lang w:val="en-US" w:eastAsia="zh-CN"/>
              </w:rPr>
            </w:pPr>
            <w:r>
              <w:rPr>
                <w:rFonts w:hint="eastAsia" w:ascii="宋体" w:hAnsi="宋体" w:eastAsia="宋体"/>
                <w:b/>
                <w:sz w:val="21"/>
                <w:szCs w:val="21"/>
              </w:rPr>
              <w:t>授课地点：</w:t>
            </w:r>
            <w:r>
              <w:rPr>
                <w:rFonts w:hint="eastAsia" w:ascii="宋体" w:hAnsi="宋体" w:eastAsia="宋体"/>
                <w:sz w:val="21"/>
                <w:szCs w:val="21"/>
              </w:rPr>
              <w:t>莞城</w:t>
            </w:r>
            <w:r>
              <w:rPr>
                <w:rFonts w:hint="eastAsia" w:ascii="宋体" w:hAnsi="宋体" w:eastAsia="宋体"/>
                <w:sz w:val="21"/>
                <w:szCs w:val="21"/>
                <w:lang w:val="en-US" w:eastAsia="zh-CN"/>
              </w:rPr>
              <w:t>2311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授课对象：</w:t>
            </w:r>
            <w:r>
              <w:rPr>
                <w:rFonts w:ascii="宋体" w:hAnsi="宋体" w:eastAsia="宋体"/>
                <w:sz w:val="21"/>
                <w:szCs w:val="21"/>
                <w:lang w:eastAsia="zh-CN"/>
              </w:rPr>
              <w:t>201</w:t>
            </w:r>
            <w:r>
              <w:rPr>
                <w:rFonts w:hint="eastAsia" w:ascii="宋体" w:hAnsi="宋体" w:eastAsia="宋体"/>
                <w:sz w:val="21"/>
                <w:szCs w:val="21"/>
                <w:lang w:val="en-US" w:eastAsia="zh-CN"/>
              </w:rPr>
              <w:t>7</w:t>
            </w:r>
            <w:r>
              <w:rPr>
                <w:rFonts w:hint="eastAsia" w:ascii="宋体" w:hAnsi="宋体" w:eastAsia="宋体"/>
                <w:sz w:val="21"/>
                <w:szCs w:val="21"/>
                <w:lang w:eastAsia="zh-CN"/>
              </w:rPr>
              <w:t>级社会工作专业</w:t>
            </w:r>
            <w:r>
              <w:rPr>
                <w:rFonts w:ascii="宋体" w:hAnsi="宋体" w:eastAsia="宋体"/>
                <w:sz w:val="21"/>
                <w:szCs w:val="21"/>
                <w:lang w:eastAsia="zh-CN"/>
              </w:rPr>
              <w:t>1</w:t>
            </w:r>
            <w:r>
              <w:rPr>
                <w:rFonts w:hint="eastAsia" w:ascii="宋体" w:hAnsi="宋体" w:eastAsia="宋体"/>
                <w:sz w:val="21"/>
                <w:szCs w:val="21"/>
                <w:lang w:eastAsia="zh-CN"/>
              </w:rPr>
              <w:t>、</w:t>
            </w:r>
            <w:r>
              <w:rPr>
                <w:rFonts w:ascii="宋体" w:hAnsi="宋体" w:eastAsia="宋体"/>
                <w:sz w:val="21"/>
                <w:szCs w:val="21"/>
                <w:lang w:eastAsia="zh-CN"/>
              </w:rPr>
              <w:t xml:space="preserve">2 </w:t>
            </w:r>
            <w:r>
              <w:rPr>
                <w:rFonts w:hint="eastAsia" w:ascii="宋体" w:hAnsi="宋体" w:eastAsia="宋体"/>
                <w:sz w:val="21"/>
                <w:szCs w:val="21"/>
                <w:lang w:eastAsia="zh-CN"/>
              </w:rPr>
              <w:t>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开课院系：</w:t>
            </w:r>
            <w:r>
              <w:rPr>
                <w:rFonts w:hint="eastAsia" w:ascii="宋体" w:hAnsi="宋体" w:eastAsia="宋体"/>
                <w:sz w:val="21"/>
                <w:szCs w:val="21"/>
                <w:lang w:eastAsia="zh-CN"/>
              </w:rPr>
              <w:t>法律与社会工作学院社会工作系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sz w:val="21"/>
                <w:szCs w:val="21"/>
                <w:lang w:eastAsia="zh-CN"/>
              </w:rPr>
              <w:t>丁淑娟 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1"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rPr>
              <w:t>联系电话：</w:t>
            </w:r>
            <w:r>
              <w:rPr>
                <w:rFonts w:hint="eastAsia" w:ascii="宋体" w:hAnsi="宋体" w:eastAsia="宋体"/>
                <w:sz w:val="21"/>
                <w:szCs w:val="21"/>
                <w:lang w:eastAsia="zh-CN"/>
              </w:rPr>
              <w:t>13428601180</w:t>
            </w:r>
          </w:p>
        </w:tc>
        <w:tc>
          <w:tcPr>
            <w:tcW w:w="4850" w:type="dxa"/>
            <w:gridSpan w:val="4"/>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rPr>
              <w:t>Email:</w:t>
            </w:r>
            <w:r>
              <w:rPr>
                <w:rFonts w:hint="eastAsia" w:ascii="宋体" w:hAnsi="宋体" w:eastAsia="宋体"/>
                <w:sz w:val="21"/>
                <w:szCs w:val="21"/>
                <w:lang w:eastAsia="zh-CN"/>
              </w:rPr>
              <w:t>dingsj@dgut.edu.cn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eastAsia="宋体"/>
                <w:sz w:val="21"/>
                <w:szCs w:val="21"/>
                <w:lang w:eastAsia="zh-CN"/>
              </w:rPr>
              <w:t>课前、课余和课后口头答疑，平时通过邮件、电话答疑；如有复杂问题需要解答也可提前预约至教师办公室面谈。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w:t>
            </w:r>
            <w:r>
              <w:rPr>
                <w:rFonts w:hint="eastAsia" w:ascii="宋体" w:eastAsia="宋体" w:cs="宋体"/>
                <w:sz w:val="21"/>
                <w:szCs w:val="21"/>
                <w:lang w:eastAsia="zh-CN"/>
              </w:rPr>
              <w:t>√</w:t>
            </w:r>
            <w:r>
              <w:rPr>
                <w:rFonts w:hint="eastAsia" w:ascii="宋体" w:hAnsi="宋体" w:eastAsia="宋体"/>
                <w:b/>
                <w:sz w:val="21"/>
                <w:szCs w:val="21"/>
                <w:lang w:eastAsia="zh-CN"/>
              </w:rPr>
              <w:t xml:space="preserve">）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bCs/>
                <w:sz w:val="21"/>
                <w:szCs w:val="21"/>
                <w:lang w:eastAsia="zh-CN"/>
              </w:rPr>
            </w:pPr>
            <w:r>
              <w:rPr>
                <w:rFonts w:hint="eastAsia" w:ascii="宋体" w:hAnsi="宋体" w:eastAsia="宋体"/>
                <w:b/>
                <w:bCs/>
                <w:sz w:val="21"/>
                <w:szCs w:val="21"/>
                <w:lang w:eastAsia="zh-CN"/>
              </w:rPr>
              <w:t>使用教材：</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sz w:val="21"/>
                <w:szCs w:val="21"/>
                <w:lang w:val="en-US" w:eastAsia="zh-CN"/>
              </w:rPr>
            </w:pPr>
            <w:r>
              <w:rPr>
                <w:rFonts w:hint="eastAsia" w:ascii="宋体" w:hAnsi="宋体" w:eastAsia="宋体"/>
                <w:sz w:val="21"/>
                <w:szCs w:val="21"/>
                <w:lang w:eastAsia="zh-CN"/>
              </w:rPr>
              <w:t>张军涛, 曹煜玲. 公共管理学[M]. 清华大学出版社, 2015</w:t>
            </w:r>
            <w:r>
              <w:rPr>
                <w:rFonts w:hint="eastAsia" w:ascii="宋体" w:hAnsi="宋体" w:eastAsia="宋体"/>
                <w:sz w:val="21"/>
                <w:szCs w:val="21"/>
                <w:lang w:val="en-US" w:eastAsia="zh-CN"/>
              </w:rPr>
              <w:t>.</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bCs/>
                <w:sz w:val="21"/>
                <w:szCs w:val="21"/>
                <w:lang w:eastAsia="zh-CN"/>
              </w:rPr>
            </w:pPr>
            <w:r>
              <w:rPr>
                <w:rFonts w:hint="eastAsia" w:ascii="宋体" w:hAnsi="宋体" w:eastAsia="宋体"/>
                <w:b/>
                <w:bCs/>
                <w:sz w:val="21"/>
                <w:szCs w:val="21"/>
                <w:lang w:eastAsia="zh-CN"/>
              </w:rPr>
              <w:t>教学参考资料：</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sz w:val="21"/>
                <w:szCs w:val="21"/>
                <w:lang w:eastAsia="zh-CN"/>
              </w:rPr>
            </w:pPr>
            <w:r>
              <w:rPr>
                <w:rFonts w:hint="eastAsia" w:ascii="宋体" w:hAnsi="宋体" w:eastAsia="宋体"/>
                <w:sz w:val="21"/>
                <w:szCs w:val="21"/>
                <w:lang w:val="en-US" w:eastAsia="zh-CN"/>
              </w:rPr>
              <w:t>欧文·休斯. 公共管理导论.第三版[M]. 中国人民大学出版社, 2004.</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cs="Malgun Gothic Semilight"/>
                <w:b/>
                <w:bCs/>
                <w:sz w:val="21"/>
                <w:szCs w:val="21"/>
                <w:lang w:eastAsia="zh-CN"/>
              </w:rPr>
            </w:pPr>
            <w:r>
              <w:rPr>
                <w:rFonts w:hint="eastAsia" w:ascii="宋体" w:hAnsi="宋体" w:eastAsia="宋体"/>
                <w:sz w:val="21"/>
                <w:szCs w:val="21"/>
                <w:lang w:val="en-US" w:eastAsia="zh-CN"/>
              </w:rPr>
              <w:t>王乐夫, 蔡立辉. 公共管理学:精编版[M]. 中国人民大学出版社, 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课程简介：</w:t>
            </w: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20" w:firstLineChars="200"/>
              <w:textAlignment w:val="auto"/>
              <w:outlineLvl w:val="0"/>
              <w:rPr>
                <w:rFonts w:ascii="宋体" w:hAnsi="宋体" w:eastAsia="宋体"/>
                <w:sz w:val="21"/>
                <w:szCs w:val="21"/>
                <w:lang w:eastAsia="zh-CN"/>
              </w:rPr>
            </w:pPr>
            <w:r>
              <w:rPr>
                <w:rFonts w:hint="eastAsia" w:ascii="宋体" w:hAnsi="宋体" w:eastAsia="宋体" w:cs="宋体"/>
                <w:sz w:val="21"/>
                <w:szCs w:val="21"/>
                <w:lang w:eastAsia="zh-CN"/>
              </w:rPr>
              <w:t>公共管理学是将管理学、经济学、政治学、政策分析、社会学等学科理论和方法融合到公共事务治理之中而形成的一门综合性学科。《公共管理学概论》是社会工作专业的核心课程之一。本课程的特点在于坚持知行合一、立德树人的育人原则，使得学生初步把握公共管理的基本概念、知识和理论，更好把握公共管理实践进展，提升他们的社会问题共鸣、发现、分析能力，能适应我国社会治理创新、社会公益服务需要，培养良好的公共管理人文素养、社会问题的敏锐观察力。课程从宏观理论层面讲授有关公共管理的一般性知识理论框架的同时，在微观层面通过案例分析和讨论引导学生思考我国社会治理、社会服务中的实践问题，进行深度联想和思考，培养学生的公共治理问题意识和思辨能力，增强其公共管理、社会工作实践能力和创新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jc w:val="center"/>
        </w:trPr>
        <w:tc>
          <w:tcPr>
            <w:tcW w:w="9401" w:type="dxa"/>
            <w:gridSpan w:val="9"/>
          </w:tcPr>
          <w:p>
            <w:pPr>
              <w:keepNext w:val="0"/>
              <w:keepLines w:val="0"/>
              <w:pageBreakBefore w:val="0"/>
              <w:widowControl/>
              <w:tabs>
                <w:tab w:val="left" w:pos="1440"/>
              </w:tabs>
              <w:kinsoku/>
              <w:wordWrap/>
              <w:overflowPunct/>
              <w:topLinePunct w:val="0"/>
              <w:autoSpaceDE/>
              <w:autoSpaceDN/>
              <w:bidi w:val="0"/>
              <w:adjustRightInd/>
              <w:spacing w:after="0" w:line="360" w:lineRule="exact"/>
              <w:ind w:firstLine="422" w:firstLineChars="200"/>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keepNext w:val="0"/>
              <w:keepLines w:val="0"/>
              <w:pageBreakBefore w:val="0"/>
              <w:widowControl/>
              <w:numPr>
                <w:ilvl w:val="0"/>
                <w:numId w:val="0"/>
              </w:numPr>
              <w:tabs>
                <w:tab w:val="left" w:pos="1440"/>
              </w:tabs>
              <w:kinsoku/>
              <w:wordWrap/>
              <w:overflowPunct/>
              <w:topLinePunct w:val="0"/>
              <w:autoSpaceDE/>
              <w:autoSpaceDN/>
              <w:bidi w:val="0"/>
              <w:adjustRightInd/>
              <w:spacing w:after="0" w:line="360" w:lineRule="exact"/>
              <w:ind w:firstLine="420" w:firstLineChars="200"/>
              <w:textAlignment w:val="auto"/>
              <w:outlineLvl w:val="0"/>
              <w:rPr>
                <w:rFonts w:hint="eastAsia" w:ascii="宋体" w:hAnsi="宋体" w:eastAsia="宋体" w:cs="宋体"/>
                <w:sz w:val="21"/>
                <w:szCs w:val="21"/>
                <w:lang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理论和知识层面：理解和掌握公共管理一般概念、知识、理论；能理解公共管理中政府、市场、社会的关系，能够运用公共管理基本理论分析各种社会问题现象和问题。</w:t>
            </w:r>
          </w:p>
          <w:p>
            <w:pPr>
              <w:keepNext w:val="0"/>
              <w:keepLines w:val="0"/>
              <w:pageBreakBefore w:val="0"/>
              <w:widowControl/>
              <w:numPr>
                <w:ilvl w:val="0"/>
                <w:numId w:val="0"/>
              </w:numPr>
              <w:tabs>
                <w:tab w:val="left" w:pos="1440"/>
              </w:tabs>
              <w:kinsoku/>
              <w:wordWrap/>
              <w:overflowPunct/>
              <w:topLinePunct w:val="0"/>
              <w:autoSpaceDE/>
              <w:autoSpaceDN/>
              <w:bidi w:val="0"/>
              <w:adjustRightInd/>
              <w:spacing w:after="0" w:line="360" w:lineRule="exact"/>
              <w:ind w:firstLine="420" w:firstLineChars="200"/>
              <w:textAlignment w:val="auto"/>
              <w:outlineLvl w:val="0"/>
              <w:rPr>
                <w:rFonts w:ascii="宋体" w:hAnsi="宋体" w:eastAsia="宋体"/>
                <w:sz w:val="21"/>
                <w:szCs w:val="21"/>
                <w:lang w:eastAsia="zh-CN"/>
              </w:rPr>
            </w:pPr>
            <w:r>
              <w:rPr>
                <w:rFonts w:hint="eastAsia" w:ascii="宋体" w:hAnsi="宋体" w:eastAsia="宋体" w:cs="宋体"/>
                <w:sz w:val="21"/>
                <w:szCs w:val="21"/>
                <w:lang w:eastAsia="zh-CN"/>
              </w:rPr>
              <w:t>2.情感价值层面：使得学生具有积极向上的世界观、人生观、价值观和高尚的人格。了解和评价党和政府有关社会福利领域的重大方针</w:t>
            </w:r>
            <w:r>
              <w:rPr>
                <w:rFonts w:hint="eastAsia" w:ascii="宋体" w:hAnsi="宋体" w:eastAsia="宋体" w:cs="Malgun Gothic Semilight"/>
                <w:sz w:val="21"/>
                <w:szCs w:val="21"/>
                <w:lang w:eastAsia="zh-CN"/>
              </w:rPr>
              <w:t>、</w:t>
            </w:r>
            <w:r>
              <w:rPr>
                <w:rFonts w:hint="eastAsia" w:ascii="宋体" w:hAnsi="宋体" w:eastAsia="宋体" w:cs="宋体"/>
                <w:sz w:val="21"/>
                <w:szCs w:val="21"/>
                <w:lang w:eastAsia="zh-CN"/>
              </w:rPr>
              <w:t>政策</w:t>
            </w:r>
            <w:r>
              <w:rPr>
                <w:rFonts w:hint="eastAsia" w:ascii="宋体" w:hAnsi="宋体" w:eastAsia="宋体" w:cs="Malgun Gothic Semilight"/>
                <w:sz w:val="21"/>
                <w:szCs w:val="21"/>
                <w:lang w:eastAsia="zh-CN"/>
              </w:rPr>
              <w:t>、</w:t>
            </w:r>
            <w:r>
              <w:rPr>
                <w:rFonts w:hint="eastAsia" w:ascii="宋体" w:hAnsi="宋体" w:eastAsia="宋体" w:cs="宋体"/>
                <w:sz w:val="21"/>
                <w:szCs w:val="21"/>
                <w:lang w:eastAsia="zh-CN"/>
              </w:rPr>
              <w:t>法律和法规</w:t>
            </w:r>
            <w:r>
              <w:rPr>
                <w:rFonts w:hint="eastAsia" w:ascii="宋体" w:hAnsi="宋体" w:eastAsia="宋体" w:cs="Malgun Gothic Semilight"/>
                <w:sz w:val="21"/>
                <w:szCs w:val="21"/>
                <w:lang w:eastAsia="zh-CN"/>
              </w:rPr>
              <w:t>，</w:t>
            </w:r>
            <w:r>
              <w:rPr>
                <w:rFonts w:hint="eastAsia" w:ascii="宋体" w:hAnsi="宋体" w:eastAsia="宋体" w:cs="宋体"/>
                <w:sz w:val="21"/>
                <w:szCs w:val="21"/>
                <w:lang w:eastAsia="zh-CN"/>
              </w:rPr>
              <w:t>有通过社会实践和公共管理研究影响</w:t>
            </w:r>
            <w:r>
              <w:rPr>
                <w:rFonts w:hint="eastAsia" w:ascii="宋体" w:hAnsi="宋体" w:eastAsia="宋体"/>
                <w:sz w:val="21"/>
                <w:szCs w:val="21"/>
                <w:lang w:eastAsia="zh-CN"/>
              </w:rPr>
              <w:t>公共管理的价值取向。</w:t>
            </w: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20" w:firstLineChars="200"/>
              <w:textAlignment w:val="auto"/>
              <w:outlineLvl w:val="0"/>
              <w:rPr>
                <w:rFonts w:hint="eastAsia" w:ascii="宋体" w:hAnsi="宋体" w:eastAsia="宋体"/>
                <w:sz w:val="21"/>
                <w:szCs w:val="21"/>
                <w:lang w:eastAsia="zh-CN"/>
              </w:rPr>
            </w:pPr>
            <w:r>
              <w:rPr>
                <w:rFonts w:hint="eastAsia" w:ascii="宋体" w:hAnsi="宋体" w:eastAsia="宋体"/>
                <w:sz w:val="21"/>
                <w:szCs w:val="21"/>
                <w:lang w:eastAsia="zh-CN"/>
              </w:rPr>
              <w:t>3.专业技巧层面：能够综合联想和运用公共管理学一般理论、知识和方法分析社会困难群体的困境原因，服务于提出解决对策，开展助人活动、回应特殊服务对象以及社会的需要。</w:t>
            </w: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20" w:firstLineChars="200"/>
              <w:textAlignment w:val="auto"/>
              <w:outlineLvl w:val="0"/>
              <w:rPr>
                <w:rFonts w:hint="eastAsia" w:ascii="宋体" w:hAnsi="宋体" w:eastAsia="宋体"/>
                <w:sz w:val="21"/>
                <w:szCs w:val="21"/>
                <w:lang w:eastAsia="zh-CN"/>
              </w:rPr>
            </w:pP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20" w:firstLineChars="200"/>
              <w:textAlignment w:val="auto"/>
              <w:outlineLvl w:val="0"/>
              <w:rPr>
                <w:rFonts w:hint="eastAsia" w:ascii="宋体" w:hAnsi="宋体" w:eastAsia="宋体"/>
                <w:sz w:val="21"/>
                <w:szCs w:val="21"/>
                <w:lang w:eastAsia="zh-CN"/>
              </w:rPr>
            </w:pP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20" w:firstLineChars="200"/>
              <w:textAlignment w:val="auto"/>
              <w:outlineLvl w:val="0"/>
              <w:rPr>
                <w:rFonts w:hint="eastAsia" w:ascii="宋体" w:hAnsi="宋体" w:eastAsia="宋体"/>
                <w:sz w:val="21"/>
                <w:szCs w:val="21"/>
                <w:lang w:eastAsia="zh-CN"/>
              </w:rPr>
            </w:pP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20" w:firstLineChars="200"/>
              <w:textAlignment w:val="auto"/>
              <w:outlineLvl w:val="0"/>
              <w:rPr>
                <w:rFonts w:hint="eastAsia"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shd w:val="clear" w:color="auto" w:fill="C0C0C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jc w:val="center"/>
              <w:textAlignment w:val="auto"/>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周次</w:t>
            </w:r>
          </w:p>
        </w:tc>
        <w:tc>
          <w:tcPr>
            <w:tcW w:w="1729"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教学主题</w:t>
            </w:r>
          </w:p>
        </w:tc>
        <w:tc>
          <w:tcPr>
            <w:tcW w:w="722"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hint="eastAsia" w:ascii="宋体" w:hAnsi="宋体" w:eastAsia="宋体"/>
                <w:b/>
                <w:sz w:val="21"/>
                <w:szCs w:val="21"/>
              </w:rPr>
            </w:pPr>
            <w:r>
              <w:rPr>
                <w:rFonts w:hint="eastAsia" w:ascii="宋体" w:hAnsi="宋体" w:eastAsia="宋体"/>
                <w:b/>
                <w:sz w:val="21"/>
                <w:szCs w:val="21"/>
              </w:rPr>
              <w:t>教学</w:t>
            </w:r>
          </w:p>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时长</w:t>
            </w:r>
          </w:p>
        </w:tc>
        <w:tc>
          <w:tcPr>
            <w:tcW w:w="3827"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教学的重点与难点</w:t>
            </w:r>
          </w:p>
        </w:tc>
        <w:tc>
          <w:tcPr>
            <w:tcW w:w="1383"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教学方式</w:t>
            </w:r>
          </w:p>
        </w:tc>
        <w:tc>
          <w:tcPr>
            <w:tcW w:w="1091"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1</w:t>
            </w:r>
          </w:p>
        </w:tc>
        <w:tc>
          <w:tcPr>
            <w:tcW w:w="1729" w:type="dxa"/>
            <w:gridSpan w:val="2"/>
            <w:vAlign w:val="center"/>
          </w:tcPr>
          <w:p>
            <w:pPr>
              <w:keepNext w:val="0"/>
              <w:keepLines w:val="0"/>
              <w:pageBreakBefore w:val="0"/>
              <w:widowControl/>
              <w:kinsoku/>
              <w:wordWrap/>
              <w:overflowPunct/>
              <w:topLinePunct w:val="0"/>
              <w:autoSpaceDE/>
              <w:autoSpaceDN/>
              <w:bidi w:val="0"/>
              <w:adjustRightInd/>
              <w:spacing w:after="0" w:line="360" w:lineRule="exact"/>
              <w:jc w:val="left"/>
              <w:textAlignment w:val="auto"/>
              <w:rPr>
                <w:rFonts w:ascii="宋体" w:hAnsi="宋体" w:eastAsia="宋体"/>
                <w:sz w:val="21"/>
                <w:szCs w:val="21"/>
                <w:lang w:eastAsia="zh-CN"/>
              </w:rPr>
            </w:pPr>
            <w:r>
              <w:rPr>
                <w:rFonts w:hint="eastAsia" w:ascii="宋体" w:hAnsi="宋体" w:eastAsia="宋体"/>
                <w:sz w:val="21"/>
                <w:szCs w:val="21"/>
                <w:lang w:eastAsia="zh-CN"/>
              </w:rPr>
              <w:t>公共管理概述</w:t>
            </w:r>
          </w:p>
        </w:tc>
        <w:tc>
          <w:tcPr>
            <w:tcW w:w="722"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2学时</w:t>
            </w:r>
          </w:p>
        </w:tc>
        <w:tc>
          <w:tcPr>
            <w:tcW w:w="3827"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val="en-US" w:eastAsia="zh-CN"/>
              </w:rPr>
            </w:pPr>
            <w:r>
              <w:rPr>
                <w:rFonts w:hint="eastAsia" w:ascii="宋体" w:hAnsi="宋体" w:eastAsia="宋体"/>
                <w:sz w:val="21"/>
                <w:szCs w:val="21"/>
                <w:lang w:val="en-US" w:eastAsia="zh-CN"/>
              </w:rPr>
              <w:t>1、公共管理的内涵 ；2、公共管理的主体与客体； 3、公共管理与私人管理的差异</w:t>
            </w:r>
          </w:p>
        </w:tc>
        <w:tc>
          <w:tcPr>
            <w:tcW w:w="138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课堂讲授</w:t>
            </w:r>
            <w:r>
              <w:rPr>
                <w:rFonts w:hint="eastAsia" w:ascii="宋体" w:hAnsi="宋体" w:eastAsia="宋体"/>
                <w:sz w:val="21"/>
                <w:szCs w:val="21"/>
                <w:lang w:eastAsia="zh-CN"/>
              </w:rPr>
              <w:t>、</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val="en-US" w:eastAsia="zh-CN"/>
              </w:rPr>
            </w:pPr>
            <w:r>
              <w:rPr>
                <w:rFonts w:hint="eastAsia" w:ascii="宋体" w:hAnsi="宋体" w:eastAsia="宋体"/>
                <w:sz w:val="21"/>
                <w:szCs w:val="21"/>
                <w:lang w:val="en-US" w:eastAsia="zh-CN"/>
              </w:rPr>
              <w:t>小组讨论</w:t>
            </w:r>
          </w:p>
        </w:tc>
        <w:tc>
          <w:tcPr>
            <w:tcW w:w="1091"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资料阅读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2</w:t>
            </w:r>
          </w:p>
        </w:tc>
        <w:tc>
          <w:tcPr>
            <w:tcW w:w="1729" w:type="dxa"/>
            <w:gridSpan w:val="2"/>
            <w:vAlign w:val="center"/>
          </w:tcPr>
          <w:p>
            <w:pPr>
              <w:keepNext w:val="0"/>
              <w:keepLines w:val="0"/>
              <w:pageBreakBefore w:val="0"/>
              <w:widowControl/>
              <w:kinsoku/>
              <w:wordWrap/>
              <w:overflowPunct/>
              <w:topLinePunct w:val="0"/>
              <w:autoSpaceDE/>
              <w:autoSpaceDN/>
              <w:bidi w:val="0"/>
              <w:adjustRightInd/>
              <w:spacing w:after="0" w:line="360" w:lineRule="exact"/>
              <w:jc w:val="left"/>
              <w:textAlignment w:val="auto"/>
              <w:rPr>
                <w:rFonts w:ascii="宋体" w:hAnsi="宋体" w:eastAsia="宋体"/>
                <w:sz w:val="21"/>
                <w:szCs w:val="21"/>
                <w:lang w:eastAsia="zh-CN"/>
              </w:rPr>
            </w:pPr>
            <w:r>
              <w:rPr>
                <w:rFonts w:hint="eastAsia" w:ascii="宋体" w:hAnsi="宋体" w:eastAsia="宋体"/>
                <w:sz w:val="21"/>
                <w:szCs w:val="21"/>
                <w:lang w:eastAsia="zh-CN"/>
              </w:rPr>
              <w:t>公共管理概述</w:t>
            </w:r>
          </w:p>
        </w:tc>
        <w:tc>
          <w:tcPr>
            <w:tcW w:w="722"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2学时</w:t>
            </w:r>
          </w:p>
        </w:tc>
        <w:tc>
          <w:tcPr>
            <w:tcW w:w="3827"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val="en-US" w:eastAsia="zh-CN"/>
              </w:rPr>
            </w:pPr>
            <w:r>
              <w:rPr>
                <w:rFonts w:hint="eastAsia" w:ascii="宋体" w:hAnsi="宋体" w:eastAsia="宋体"/>
                <w:sz w:val="21"/>
                <w:szCs w:val="21"/>
                <w:lang w:val="en-US" w:eastAsia="zh-CN"/>
              </w:rPr>
              <w:t>1、</w:t>
            </w:r>
            <w:r>
              <w:rPr>
                <w:rFonts w:hint="eastAsia" w:ascii="宋体" w:hAnsi="宋体" w:eastAsia="宋体"/>
                <w:sz w:val="21"/>
                <w:szCs w:val="21"/>
                <w:lang w:eastAsia="zh-CN"/>
              </w:rPr>
              <w:t>公共管理的理论发展</w:t>
            </w:r>
            <w:r>
              <w:rPr>
                <w:rFonts w:hint="eastAsia" w:ascii="宋体" w:hAnsi="宋体" w:eastAsia="宋体"/>
                <w:sz w:val="21"/>
                <w:szCs w:val="21"/>
                <w:lang w:val="en-US" w:eastAsia="zh-CN"/>
              </w:rPr>
              <w:t xml:space="preserve"> 2、公共管理与公共行政的关系</w:t>
            </w:r>
          </w:p>
        </w:tc>
        <w:tc>
          <w:tcPr>
            <w:tcW w:w="138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课堂讲授</w:t>
            </w:r>
            <w:r>
              <w:rPr>
                <w:rFonts w:hint="eastAsia" w:ascii="宋体" w:hAnsi="宋体" w:eastAsia="宋体"/>
                <w:sz w:val="21"/>
                <w:szCs w:val="21"/>
                <w:lang w:eastAsia="zh-CN"/>
              </w:rPr>
              <w:t>、</w:t>
            </w:r>
            <w:r>
              <w:rPr>
                <w:rFonts w:hint="eastAsia" w:ascii="宋体" w:hAnsi="宋体" w:eastAsia="宋体"/>
                <w:b/>
                <w:bCs/>
                <w:sz w:val="21"/>
                <w:szCs w:val="21"/>
                <w:lang w:eastAsia="zh-CN"/>
              </w:rPr>
              <w:t>小组展示</w:t>
            </w:r>
          </w:p>
        </w:tc>
        <w:tc>
          <w:tcPr>
            <w:tcW w:w="1091"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资料阅读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49"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3</w:t>
            </w:r>
          </w:p>
        </w:tc>
        <w:tc>
          <w:tcPr>
            <w:tcW w:w="1729" w:type="dxa"/>
            <w:gridSpan w:val="2"/>
            <w:vAlign w:val="center"/>
          </w:tcPr>
          <w:p>
            <w:pPr>
              <w:keepNext w:val="0"/>
              <w:keepLines w:val="0"/>
              <w:pageBreakBefore w:val="0"/>
              <w:widowControl/>
              <w:kinsoku/>
              <w:wordWrap/>
              <w:overflowPunct/>
              <w:topLinePunct w:val="0"/>
              <w:autoSpaceDE/>
              <w:autoSpaceDN/>
              <w:bidi w:val="0"/>
              <w:adjustRightInd/>
              <w:spacing w:after="0" w:line="360" w:lineRule="exact"/>
              <w:jc w:val="left"/>
              <w:textAlignment w:val="auto"/>
              <w:rPr>
                <w:rFonts w:ascii="宋体" w:hAnsi="宋体" w:eastAsia="宋体"/>
                <w:sz w:val="21"/>
                <w:szCs w:val="21"/>
                <w:lang w:val="en-US" w:eastAsia="zh-CN"/>
              </w:rPr>
            </w:pPr>
            <w:r>
              <w:rPr>
                <w:rFonts w:hint="eastAsia" w:ascii="宋体" w:hAnsi="宋体" w:eastAsia="宋体"/>
                <w:sz w:val="21"/>
                <w:szCs w:val="21"/>
                <w:lang w:val="en-US" w:eastAsia="zh-CN"/>
              </w:rPr>
              <w:t>公共部门管理流程</w:t>
            </w:r>
          </w:p>
        </w:tc>
        <w:tc>
          <w:tcPr>
            <w:tcW w:w="722"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2学时</w:t>
            </w:r>
          </w:p>
        </w:tc>
        <w:tc>
          <w:tcPr>
            <w:tcW w:w="3827"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val="en-US" w:eastAsia="zh-CN"/>
              </w:rPr>
            </w:pPr>
            <w:r>
              <w:rPr>
                <w:rFonts w:hint="eastAsia" w:ascii="宋体" w:hAnsi="宋体" w:eastAsia="宋体"/>
                <w:sz w:val="21"/>
                <w:szCs w:val="21"/>
                <w:lang w:val="en-US" w:eastAsia="zh-CN"/>
              </w:rPr>
              <w:t>1、公共部门计划类型；2、SWOT战略规划方法；3</w:t>
            </w:r>
            <w:r>
              <w:rPr>
                <w:rFonts w:hint="eastAsia" w:ascii="宋体" w:hAnsi="宋体" w:eastAsia="宋体"/>
                <w:sz w:val="21"/>
                <w:szCs w:val="21"/>
                <w:lang w:eastAsia="zh-CN"/>
              </w:rPr>
              <w:t>、公共组织的性质</w:t>
            </w:r>
            <w:r>
              <w:rPr>
                <w:rFonts w:hint="eastAsia" w:ascii="宋体" w:hAnsi="宋体" w:eastAsia="宋体"/>
                <w:sz w:val="21"/>
                <w:szCs w:val="21"/>
                <w:lang w:val="en-US" w:eastAsia="zh-CN"/>
              </w:rPr>
              <w:t xml:space="preserve"> 4</w:t>
            </w:r>
            <w:r>
              <w:rPr>
                <w:rFonts w:hint="eastAsia" w:ascii="宋体" w:hAnsi="宋体" w:eastAsia="宋体"/>
                <w:sz w:val="21"/>
                <w:szCs w:val="21"/>
                <w:lang w:eastAsia="zh-CN"/>
              </w:rPr>
              <w:t>、公共组织的类型</w:t>
            </w:r>
          </w:p>
        </w:tc>
        <w:tc>
          <w:tcPr>
            <w:tcW w:w="138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val="en-US" w:eastAsia="zh-CN"/>
              </w:rPr>
            </w:pPr>
            <w:r>
              <w:rPr>
                <w:rFonts w:ascii="宋体" w:hAnsi="宋体" w:eastAsia="宋体"/>
                <w:sz w:val="21"/>
                <w:szCs w:val="21"/>
                <w:lang w:eastAsia="zh-CN"/>
              </w:rPr>
              <w:t>课堂讲授</w:t>
            </w:r>
            <w:r>
              <w:rPr>
                <w:rFonts w:hint="eastAsia" w:ascii="宋体" w:hAnsi="宋体" w:eastAsia="宋体"/>
                <w:sz w:val="21"/>
                <w:szCs w:val="21"/>
                <w:lang w:eastAsia="zh-CN"/>
              </w:rPr>
              <w:t>、</w:t>
            </w:r>
            <w:r>
              <w:rPr>
                <w:rFonts w:hint="eastAsia" w:ascii="宋体" w:hAnsi="宋体" w:eastAsia="宋体"/>
                <w:sz w:val="21"/>
                <w:szCs w:val="21"/>
                <w:lang w:val="en-US" w:eastAsia="zh-CN"/>
              </w:rPr>
              <w:t>小组讨论</w:t>
            </w:r>
          </w:p>
        </w:tc>
        <w:tc>
          <w:tcPr>
            <w:tcW w:w="1091"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val="en-US" w:eastAsia="zh-CN"/>
              </w:rPr>
            </w:pPr>
            <w:r>
              <w:rPr>
                <w:rFonts w:hint="eastAsia" w:ascii="宋体" w:hAnsi="宋体" w:eastAsia="宋体"/>
                <w:sz w:val="21"/>
                <w:szCs w:val="21"/>
                <w:lang w:eastAsia="zh-CN"/>
              </w:rPr>
              <w:t>一次作业（</w:t>
            </w:r>
            <w:r>
              <w:rPr>
                <w:rFonts w:hint="eastAsia" w:ascii="宋体" w:hAnsi="宋体" w:eastAsia="宋体"/>
                <w:sz w:val="21"/>
                <w:szCs w:val="21"/>
                <w:lang w:val="en-US" w:eastAsia="zh-CN"/>
              </w:rPr>
              <w:t>学生个人学业、职业发展规划）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4</w:t>
            </w:r>
          </w:p>
        </w:tc>
        <w:tc>
          <w:tcPr>
            <w:tcW w:w="1729" w:type="dxa"/>
            <w:gridSpan w:val="2"/>
            <w:vAlign w:val="center"/>
          </w:tcPr>
          <w:p>
            <w:pPr>
              <w:keepNext w:val="0"/>
              <w:keepLines w:val="0"/>
              <w:pageBreakBefore w:val="0"/>
              <w:widowControl/>
              <w:kinsoku/>
              <w:wordWrap/>
              <w:overflowPunct/>
              <w:topLinePunct w:val="0"/>
              <w:autoSpaceDE/>
              <w:autoSpaceDN/>
              <w:bidi w:val="0"/>
              <w:adjustRightInd/>
              <w:spacing w:after="0" w:line="360" w:lineRule="exact"/>
              <w:jc w:val="left"/>
              <w:textAlignment w:val="auto"/>
              <w:rPr>
                <w:rFonts w:ascii="宋体" w:hAnsi="宋体" w:eastAsia="宋体"/>
                <w:sz w:val="21"/>
                <w:szCs w:val="21"/>
                <w:lang w:eastAsia="zh-CN"/>
              </w:rPr>
            </w:pPr>
            <w:r>
              <w:rPr>
                <w:rFonts w:hint="eastAsia" w:ascii="宋体" w:hAnsi="宋体" w:eastAsia="宋体"/>
                <w:sz w:val="21"/>
                <w:szCs w:val="21"/>
                <w:lang w:eastAsia="zh-CN"/>
              </w:rPr>
              <w:t>公共部门管理流程</w:t>
            </w:r>
          </w:p>
        </w:tc>
        <w:tc>
          <w:tcPr>
            <w:tcW w:w="722"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2学时</w:t>
            </w:r>
          </w:p>
        </w:tc>
        <w:tc>
          <w:tcPr>
            <w:tcW w:w="3827"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val="en-US" w:eastAsia="zh-CN"/>
              </w:rPr>
            </w:pPr>
            <w:r>
              <w:rPr>
                <w:rFonts w:hint="eastAsia" w:ascii="宋体" w:hAnsi="宋体" w:eastAsia="宋体"/>
                <w:sz w:val="21"/>
                <w:szCs w:val="21"/>
                <w:lang w:val="en-US" w:eastAsia="zh-CN"/>
              </w:rPr>
              <w:t>1、公共行政领导理论；2、公共组织领导者素质； 3、公共部门执行力影响因素</w:t>
            </w:r>
          </w:p>
        </w:tc>
        <w:tc>
          <w:tcPr>
            <w:tcW w:w="138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课堂讲授</w:t>
            </w:r>
            <w:r>
              <w:rPr>
                <w:rFonts w:hint="eastAsia" w:ascii="宋体" w:hAnsi="宋体" w:eastAsia="宋体"/>
                <w:sz w:val="21"/>
                <w:szCs w:val="21"/>
                <w:lang w:eastAsia="zh-CN"/>
              </w:rPr>
              <w:t>、</w:t>
            </w:r>
            <w:r>
              <w:rPr>
                <w:rFonts w:hint="eastAsia" w:ascii="宋体" w:hAnsi="宋体" w:eastAsia="宋体"/>
                <w:b/>
                <w:bCs/>
                <w:sz w:val="21"/>
                <w:szCs w:val="21"/>
                <w:lang w:eastAsia="zh-CN"/>
              </w:rPr>
              <w:t>小组展示</w:t>
            </w:r>
          </w:p>
        </w:tc>
        <w:tc>
          <w:tcPr>
            <w:tcW w:w="1091"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资料阅读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5</w:t>
            </w:r>
          </w:p>
        </w:tc>
        <w:tc>
          <w:tcPr>
            <w:tcW w:w="1729" w:type="dxa"/>
            <w:gridSpan w:val="2"/>
            <w:vAlign w:val="center"/>
          </w:tcPr>
          <w:p>
            <w:pPr>
              <w:keepNext w:val="0"/>
              <w:keepLines w:val="0"/>
              <w:pageBreakBefore w:val="0"/>
              <w:widowControl/>
              <w:kinsoku/>
              <w:wordWrap/>
              <w:overflowPunct/>
              <w:topLinePunct w:val="0"/>
              <w:autoSpaceDE/>
              <w:autoSpaceDN/>
              <w:bidi w:val="0"/>
              <w:adjustRightInd/>
              <w:spacing w:after="0" w:line="360" w:lineRule="exact"/>
              <w:jc w:val="left"/>
              <w:textAlignment w:val="auto"/>
              <w:rPr>
                <w:rFonts w:ascii="宋体" w:hAnsi="宋体" w:eastAsia="宋体"/>
                <w:sz w:val="21"/>
                <w:szCs w:val="21"/>
                <w:lang w:eastAsia="zh-CN"/>
              </w:rPr>
            </w:pPr>
            <w:r>
              <w:rPr>
                <w:rFonts w:hint="eastAsia" w:ascii="宋体" w:hAnsi="宋体" w:eastAsia="宋体"/>
                <w:sz w:val="21"/>
                <w:szCs w:val="21"/>
                <w:lang w:eastAsia="zh-CN"/>
              </w:rPr>
              <w:t>政府与公共管理</w:t>
            </w:r>
          </w:p>
        </w:tc>
        <w:tc>
          <w:tcPr>
            <w:tcW w:w="722"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2学时</w:t>
            </w:r>
          </w:p>
        </w:tc>
        <w:tc>
          <w:tcPr>
            <w:tcW w:w="3827"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val="en-US" w:eastAsia="zh-CN"/>
              </w:rPr>
            </w:pPr>
            <w:r>
              <w:rPr>
                <w:rFonts w:hint="eastAsia" w:ascii="宋体" w:hAnsi="宋体" w:eastAsia="宋体"/>
                <w:sz w:val="21"/>
                <w:szCs w:val="21"/>
                <w:lang w:val="en-US" w:eastAsia="zh-CN"/>
              </w:rPr>
              <w:t>1、政府与市场的关系；2、政府与企业的关系</w:t>
            </w:r>
          </w:p>
        </w:tc>
        <w:tc>
          <w:tcPr>
            <w:tcW w:w="138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课题讲授</w:t>
            </w:r>
            <w:r>
              <w:rPr>
                <w:rFonts w:hint="eastAsia" w:ascii="宋体" w:hAnsi="宋体" w:eastAsia="宋体"/>
                <w:sz w:val="21"/>
                <w:szCs w:val="21"/>
                <w:lang w:eastAsia="zh-CN"/>
              </w:rPr>
              <w:t>、案例分析</w:t>
            </w:r>
          </w:p>
        </w:tc>
        <w:tc>
          <w:tcPr>
            <w:tcW w:w="1091"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资料阅读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6</w:t>
            </w:r>
          </w:p>
        </w:tc>
        <w:tc>
          <w:tcPr>
            <w:tcW w:w="1729" w:type="dxa"/>
            <w:gridSpan w:val="2"/>
            <w:vAlign w:val="center"/>
          </w:tcPr>
          <w:p>
            <w:pPr>
              <w:keepNext w:val="0"/>
              <w:keepLines w:val="0"/>
              <w:pageBreakBefore w:val="0"/>
              <w:widowControl/>
              <w:tabs>
                <w:tab w:val="center" w:pos="756"/>
              </w:tabs>
              <w:kinsoku/>
              <w:wordWrap/>
              <w:overflowPunct/>
              <w:topLinePunct w:val="0"/>
              <w:autoSpaceDE/>
              <w:autoSpaceDN/>
              <w:bidi w:val="0"/>
              <w:adjustRightInd/>
              <w:spacing w:after="0" w:line="360" w:lineRule="exact"/>
              <w:jc w:val="left"/>
              <w:textAlignment w:val="auto"/>
              <w:rPr>
                <w:rFonts w:ascii="宋体" w:hAnsi="宋体" w:eastAsia="宋体"/>
                <w:sz w:val="21"/>
                <w:szCs w:val="21"/>
                <w:lang w:val="en-US" w:eastAsia="zh-CN"/>
              </w:rPr>
            </w:pPr>
            <w:r>
              <w:rPr>
                <w:rFonts w:hint="eastAsia" w:ascii="宋体" w:hAnsi="宋体" w:eastAsia="宋体"/>
                <w:sz w:val="21"/>
                <w:szCs w:val="21"/>
                <w:lang w:val="en-US" w:eastAsia="zh-CN"/>
              </w:rPr>
              <w:t>政府与公共管理</w:t>
            </w:r>
          </w:p>
        </w:tc>
        <w:tc>
          <w:tcPr>
            <w:tcW w:w="722"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2学时</w:t>
            </w:r>
          </w:p>
        </w:tc>
        <w:tc>
          <w:tcPr>
            <w:tcW w:w="3827"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1、政府与社会的关系；2、政府间关系</w:t>
            </w:r>
          </w:p>
        </w:tc>
        <w:tc>
          <w:tcPr>
            <w:tcW w:w="1383"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课堂讲授</w:t>
            </w:r>
            <w:r>
              <w:rPr>
                <w:rFonts w:hint="eastAsia" w:ascii="宋体" w:hAnsi="宋体" w:eastAsia="宋体"/>
                <w:sz w:val="21"/>
                <w:szCs w:val="21"/>
                <w:lang w:eastAsia="zh-CN"/>
              </w:rPr>
              <w:t>、案例分析</w:t>
            </w:r>
          </w:p>
        </w:tc>
        <w:tc>
          <w:tcPr>
            <w:tcW w:w="1091"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资料阅读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7</w:t>
            </w:r>
          </w:p>
        </w:tc>
        <w:tc>
          <w:tcPr>
            <w:tcW w:w="1729"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left"/>
              <w:textAlignment w:val="auto"/>
              <w:rPr>
                <w:rFonts w:ascii="宋体" w:hAnsi="宋体" w:eastAsia="宋体"/>
                <w:sz w:val="21"/>
                <w:szCs w:val="21"/>
                <w:lang w:eastAsia="zh-CN"/>
              </w:rPr>
            </w:pPr>
            <w:r>
              <w:rPr>
                <w:rFonts w:ascii="宋体" w:hAnsi="宋体" w:eastAsia="宋体"/>
                <w:sz w:val="21"/>
                <w:szCs w:val="21"/>
                <w:lang w:eastAsia="zh-CN"/>
              </w:rPr>
              <w:t>公共政策</w:t>
            </w:r>
            <w:r>
              <w:rPr>
                <w:rFonts w:hint="eastAsia" w:ascii="宋体" w:hAnsi="宋体" w:eastAsia="宋体"/>
                <w:sz w:val="21"/>
                <w:szCs w:val="21"/>
                <w:lang w:eastAsia="zh-CN"/>
              </w:rPr>
              <w:t>与公共管理</w:t>
            </w:r>
          </w:p>
        </w:tc>
        <w:tc>
          <w:tcPr>
            <w:tcW w:w="722"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2学时</w:t>
            </w:r>
          </w:p>
        </w:tc>
        <w:tc>
          <w:tcPr>
            <w:tcW w:w="3827"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val="en-US" w:eastAsia="zh-CN"/>
              </w:rPr>
            </w:pPr>
            <w:r>
              <w:rPr>
                <w:rFonts w:hint="eastAsia" w:ascii="宋体" w:hAnsi="宋体" w:eastAsia="宋体"/>
                <w:sz w:val="21"/>
                <w:szCs w:val="21"/>
                <w:lang w:eastAsia="zh-CN"/>
              </w:rPr>
              <w:t>1、公共政策的概念；2、公共政策的分类；3、公共政策的功能；</w:t>
            </w:r>
            <w:r>
              <w:rPr>
                <w:rFonts w:hint="eastAsia" w:ascii="宋体" w:hAnsi="宋体" w:eastAsia="宋体"/>
                <w:sz w:val="21"/>
                <w:szCs w:val="21"/>
                <w:lang w:val="en-US" w:eastAsia="zh-CN"/>
              </w:rPr>
              <w:t xml:space="preserve"> 4、公共政策工具</w:t>
            </w:r>
          </w:p>
        </w:tc>
        <w:tc>
          <w:tcPr>
            <w:tcW w:w="1383"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课堂讲授</w:t>
            </w:r>
          </w:p>
        </w:tc>
        <w:tc>
          <w:tcPr>
            <w:tcW w:w="1091"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资料阅读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8</w:t>
            </w:r>
          </w:p>
        </w:tc>
        <w:tc>
          <w:tcPr>
            <w:tcW w:w="1729"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left"/>
              <w:textAlignment w:val="auto"/>
              <w:rPr>
                <w:rFonts w:ascii="宋体" w:hAnsi="宋体" w:eastAsia="宋体"/>
                <w:sz w:val="21"/>
                <w:szCs w:val="21"/>
                <w:lang w:eastAsia="zh-CN"/>
              </w:rPr>
            </w:pPr>
            <w:r>
              <w:rPr>
                <w:rFonts w:ascii="宋体" w:hAnsi="宋体" w:eastAsia="宋体"/>
                <w:sz w:val="21"/>
                <w:szCs w:val="21"/>
                <w:lang w:eastAsia="zh-CN"/>
              </w:rPr>
              <w:t>公共政策</w:t>
            </w:r>
            <w:r>
              <w:rPr>
                <w:rFonts w:hint="eastAsia" w:ascii="宋体" w:hAnsi="宋体" w:eastAsia="宋体"/>
                <w:sz w:val="21"/>
                <w:szCs w:val="21"/>
                <w:lang w:eastAsia="zh-CN"/>
              </w:rPr>
              <w:t>与公共管理</w:t>
            </w:r>
          </w:p>
        </w:tc>
        <w:tc>
          <w:tcPr>
            <w:tcW w:w="722"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2学时</w:t>
            </w:r>
          </w:p>
        </w:tc>
        <w:tc>
          <w:tcPr>
            <w:tcW w:w="3827"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val="en-US" w:eastAsia="zh-CN"/>
              </w:rPr>
            </w:pPr>
            <w:r>
              <w:rPr>
                <w:rFonts w:hint="eastAsia" w:ascii="宋体" w:hAnsi="宋体" w:eastAsia="宋体"/>
                <w:sz w:val="21"/>
                <w:szCs w:val="21"/>
                <w:lang w:val="en-US" w:eastAsia="zh-CN"/>
              </w:rPr>
              <w:t>1、公共政策主体、客体；2、公共政策合法化</w:t>
            </w:r>
          </w:p>
        </w:tc>
        <w:tc>
          <w:tcPr>
            <w:tcW w:w="1383"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课堂讲授</w:t>
            </w:r>
            <w:r>
              <w:rPr>
                <w:rFonts w:hint="eastAsia" w:ascii="宋体" w:hAnsi="宋体" w:eastAsia="宋体"/>
                <w:sz w:val="21"/>
                <w:szCs w:val="21"/>
                <w:lang w:eastAsia="zh-CN"/>
              </w:rPr>
              <w:t>、</w:t>
            </w:r>
            <w:r>
              <w:rPr>
                <w:rFonts w:hint="eastAsia" w:ascii="宋体" w:hAnsi="宋体" w:eastAsia="宋体"/>
                <w:b/>
                <w:bCs/>
                <w:sz w:val="21"/>
                <w:szCs w:val="21"/>
                <w:lang w:eastAsia="zh-CN"/>
              </w:rPr>
              <w:t>小组展示</w:t>
            </w:r>
          </w:p>
        </w:tc>
        <w:tc>
          <w:tcPr>
            <w:tcW w:w="1091"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资料阅读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9</w:t>
            </w:r>
          </w:p>
        </w:tc>
        <w:tc>
          <w:tcPr>
            <w:tcW w:w="1729"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left"/>
              <w:textAlignment w:val="auto"/>
              <w:rPr>
                <w:rFonts w:ascii="宋体" w:hAnsi="宋体" w:eastAsia="宋体"/>
                <w:sz w:val="21"/>
                <w:szCs w:val="21"/>
                <w:lang w:eastAsia="zh-CN"/>
              </w:rPr>
            </w:pPr>
            <w:r>
              <w:rPr>
                <w:rFonts w:hint="eastAsia" w:ascii="宋体" w:hAnsi="宋体" w:eastAsia="宋体"/>
                <w:sz w:val="21"/>
                <w:szCs w:val="21"/>
                <w:lang w:eastAsia="zh-CN"/>
              </w:rPr>
              <w:t>公共政策与和公共管理</w:t>
            </w:r>
          </w:p>
        </w:tc>
        <w:tc>
          <w:tcPr>
            <w:tcW w:w="722"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2学时</w:t>
            </w:r>
          </w:p>
        </w:tc>
        <w:tc>
          <w:tcPr>
            <w:tcW w:w="3827"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公共政策过程（政策议程、政策制定、政策执行）</w:t>
            </w:r>
          </w:p>
        </w:tc>
        <w:tc>
          <w:tcPr>
            <w:tcW w:w="1383"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课堂讲授</w:t>
            </w:r>
            <w:r>
              <w:rPr>
                <w:rFonts w:hint="eastAsia" w:ascii="宋体" w:hAnsi="宋体" w:eastAsia="宋体"/>
                <w:sz w:val="21"/>
                <w:szCs w:val="21"/>
                <w:lang w:eastAsia="zh-CN"/>
              </w:rPr>
              <w:t>、案例分析</w:t>
            </w:r>
          </w:p>
        </w:tc>
        <w:tc>
          <w:tcPr>
            <w:tcW w:w="1091"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一次小组社会实践作</w:t>
            </w:r>
            <w:r>
              <w:rPr>
                <w:rFonts w:hint="eastAsia" w:ascii="宋体" w:hAnsi="宋体" w:eastAsia="宋体"/>
                <w:sz w:val="21"/>
                <w:szCs w:val="21"/>
                <w:lang w:val="en-US" w:eastAsia="zh-CN"/>
              </w:rPr>
              <w:t xml:space="preserve"> </w:t>
            </w:r>
            <w:r>
              <w:rPr>
                <w:rFonts w:hint="eastAsia" w:ascii="宋体" w:hAnsi="宋体" w:eastAsia="宋体"/>
                <w:sz w:val="21"/>
                <w:szCs w:val="21"/>
                <w:lang w:eastAsia="zh-CN"/>
              </w:rPr>
              <w:t>业（针对某一个社会问题或者现象，分析现状、问题，提出对策建议）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val="en-US" w:eastAsia="zh-CN"/>
              </w:rPr>
            </w:pPr>
            <w:r>
              <w:rPr>
                <w:rFonts w:hint="eastAsia" w:ascii="宋体" w:hAnsi="宋体" w:eastAsia="宋体"/>
                <w:sz w:val="21"/>
                <w:szCs w:val="21"/>
                <w:lang w:val="en-US" w:eastAsia="zh-CN"/>
              </w:rPr>
              <w:t>10</w:t>
            </w:r>
          </w:p>
        </w:tc>
        <w:tc>
          <w:tcPr>
            <w:tcW w:w="1729"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left"/>
              <w:textAlignment w:val="auto"/>
              <w:rPr>
                <w:rFonts w:ascii="宋体" w:hAnsi="宋体" w:eastAsia="宋体"/>
                <w:sz w:val="21"/>
                <w:szCs w:val="21"/>
                <w:lang w:eastAsia="zh-CN"/>
              </w:rPr>
            </w:pPr>
            <w:r>
              <w:rPr>
                <w:rFonts w:ascii="宋体" w:hAnsi="宋体" w:eastAsia="宋体"/>
                <w:sz w:val="21"/>
                <w:szCs w:val="21"/>
                <w:lang w:eastAsia="zh-CN"/>
              </w:rPr>
              <w:t>公共人力资源管理</w:t>
            </w:r>
          </w:p>
        </w:tc>
        <w:tc>
          <w:tcPr>
            <w:tcW w:w="722"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2学时</w:t>
            </w:r>
          </w:p>
        </w:tc>
        <w:tc>
          <w:tcPr>
            <w:tcW w:w="3827"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val="en-US" w:eastAsia="zh-CN"/>
              </w:rPr>
            </w:pPr>
            <w:r>
              <w:rPr>
                <w:rFonts w:hint="eastAsia" w:ascii="宋体" w:hAnsi="宋体" w:eastAsia="宋体"/>
                <w:sz w:val="21"/>
                <w:szCs w:val="21"/>
                <w:lang w:eastAsia="zh-CN"/>
              </w:rPr>
              <w:t>1、公共人力资源管理的含义；</w:t>
            </w:r>
            <w:r>
              <w:rPr>
                <w:rFonts w:hint="eastAsia" w:ascii="宋体" w:hAnsi="宋体" w:eastAsia="宋体"/>
                <w:sz w:val="21"/>
                <w:szCs w:val="21"/>
                <w:lang w:val="en-US" w:eastAsia="zh-CN"/>
              </w:rPr>
              <w:t>2、公共部门人力资源管理的理论基础 3</w:t>
            </w:r>
            <w:r>
              <w:rPr>
                <w:rFonts w:hint="eastAsia" w:ascii="宋体" w:hAnsi="宋体" w:eastAsia="宋体"/>
                <w:sz w:val="21"/>
                <w:szCs w:val="21"/>
                <w:lang w:eastAsia="zh-CN"/>
              </w:rPr>
              <w:t>、公共部门人力资源管理目标</w:t>
            </w:r>
            <w:r>
              <w:rPr>
                <w:rFonts w:hint="eastAsia" w:ascii="宋体" w:hAnsi="宋体" w:eastAsia="宋体"/>
                <w:sz w:val="21"/>
                <w:szCs w:val="21"/>
                <w:lang w:val="en-US" w:eastAsia="zh-CN"/>
              </w:rPr>
              <w:t xml:space="preserve"> </w:t>
            </w:r>
          </w:p>
        </w:tc>
        <w:tc>
          <w:tcPr>
            <w:tcW w:w="1383"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课堂讲授</w:t>
            </w:r>
            <w:r>
              <w:rPr>
                <w:rFonts w:hint="eastAsia" w:ascii="宋体" w:hAnsi="宋体" w:eastAsia="宋体"/>
                <w:sz w:val="21"/>
                <w:szCs w:val="21"/>
                <w:lang w:eastAsia="zh-CN"/>
              </w:rPr>
              <w:t>、案例分析</w:t>
            </w:r>
          </w:p>
        </w:tc>
        <w:tc>
          <w:tcPr>
            <w:tcW w:w="1091"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资料阅读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11</w:t>
            </w:r>
          </w:p>
        </w:tc>
        <w:tc>
          <w:tcPr>
            <w:tcW w:w="1729"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left"/>
              <w:textAlignment w:val="auto"/>
              <w:rPr>
                <w:rFonts w:ascii="宋体" w:hAnsi="宋体" w:eastAsia="宋体"/>
                <w:sz w:val="21"/>
                <w:szCs w:val="21"/>
                <w:lang w:eastAsia="zh-CN"/>
              </w:rPr>
            </w:pPr>
            <w:r>
              <w:rPr>
                <w:rFonts w:hint="eastAsia" w:ascii="宋体" w:hAnsi="宋体" w:eastAsia="宋体"/>
                <w:sz w:val="21"/>
                <w:szCs w:val="21"/>
                <w:lang w:eastAsia="zh-CN"/>
              </w:rPr>
              <w:t>公共人力资源管理</w:t>
            </w:r>
          </w:p>
        </w:tc>
        <w:tc>
          <w:tcPr>
            <w:tcW w:w="722"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2学时</w:t>
            </w:r>
          </w:p>
        </w:tc>
        <w:tc>
          <w:tcPr>
            <w:tcW w:w="3827"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eastAsia="zh-CN"/>
              </w:rPr>
              <w:t>中国公务员制度</w:t>
            </w:r>
          </w:p>
        </w:tc>
        <w:tc>
          <w:tcPr>
            <w:tcW w:w="1383"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课堂讲授、</w:t>
            </w:r>
            <w:r>
              <w:rPr>
                <w:rFonts w:hint="eastAsia" w:ascii="宋体" w:hAnsi="宋体" w:eastAsia="宋体"/>
                <w:b/>
                <w:bCs/>
                <w:sz w:val="21"/>
                <w:szCs w:val="21"/>
                <w:lang w:eastAsia="zh-CN"/>
              </w:rPr>
              <w:t>小组展示</w:t>
            </w:r>
          </w:p>
        </w:tc>
        <w:tc>
          <w:tcPr>
            <w:tcW w:w="1091"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一次作业（撰写阅读一本相关书籍的读书笔记）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val="en-US" w:eastAsia="zh-CN"/>
              </w:rPr>
            </w:pPr>
            <w:r>
              <w:rPr>
                <w:rFonts w:hint="eastAsia" w:ascii="宋体" w:hAnsi="宋体" w:eastAsia="宋体"/>
                <w:sz w:val="21"/>
                <w:szCs w:val="21"/>
                <w:lang w:val="en-US" w:eastAsia="zh-CN"/>
              </w:rPr>
              <w:t>12</w:t>
            </w:r>
          </w:p>
        </w:tc>
        <w:tc>
          <w:tcPr>
            <w:tcW w:w="1729"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left"/>
              <w:textAlignment w:val="auto"/>
              <w:rPr>
                <w:rFonts w:ascii="宋体" w:hAnsi="宋体" w:eastAsia="宋体"/>
                <w:sz w:val="21"/>
                <w:szCs w:val="21"/>
                <w:lang w:eastAsia="zh-CN"/>
              </w:rPr>
            </w:pPr>
            <w:r>
              <w:rPr>
                <w:rFonts w:ascii="宋体" w:hAnsi="宋体" w:eastAsia="宋体"/>
                <w:sz w:val="21"/>
                <w:szCs w:val="21"/>
                <w:lang w:eastAsia="zh-CN"/>
              </w:rPr>
              <w:t>公共</w:t>
            </w:r>
            <w:r>
              <w:rPr>
                <w:rFonts w:hint="eastAsia" w:ascii="宋体" w:hAnsi="宋体" w:eastAsia="宋体"/>
                <w:sz w:val="21"/>
                <w:szCs w:val="21"/>
                <w:lang w:eastAsia="zh-CN"/>
              </w:rPr>
              <w:t>财政</w:t>
            </w:r>
            <w:r>
              <w:rPr>
                <w:rFonts w:ascii="宋体" w:hAnsi="宋体" w:eastAsia="宋体"/>
                <w:sz w:val="21"/>
                <w:szCs w:val="21"/>
                <w:lang w:eastAsia="zh-CN"/>
              </w:rPr>
              <w:t>管理</w:t>
            </w:r>
          </w:p>
        </w:tc>
        <w:tc>
          <w:tcPr>
            <w:tcW w:w="722"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2学时</w:t>
            </w:r>
          </w:p>
        </w:tc>
        <w:tc>
          <w:tcPr>
            <w:tcW w:w="3827" w:type="dxa"/>
            <w:gridSpan w:val="2"/>
            <w:tcBorders>
              <w:bottom w:val="single" w:color="auto" w:sz="4" w:space="0"/>
            </w:tcBorders>
            <w:vAlign w:val="center"/>
          </w:tcPr>
          <w:p>
            <w:pPr>
              <w:keepNext w:val="0"/>
              <w:keepLines w:val="0"/>
              <w:pageBreakBefore w:val="0"/>
              <w:widowControl/>
              <w:numPr>
                <w:ilvl w:val="0"/>
                <w:numId w:val="1"/>
              </w:numPr>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公共财政的特征；2、公共财政的目标 3、公共财政的职能 4 公共收入的形式</w:t>
            </w:r>
          </w:p>
          <w:p>
            <w:pPr>
              <w:keepNext w:val="0"/>
              <w:keepLines w:val="0"/>
              <w:pageBreakBefore w:val="0"/>
              <w:widowControl/>
              <w:numPr>
                <w:ilvl w:val="0"/>
                <w:numId w:val="0"/>
              </w:numPr>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p>
        </w:tc>
        <w:tc>
          <w:tcPr>
            <w:tcW w:w="1383"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课堂讲授</w:t>
            </w:r>
          </w:p>
        </w:tc>
        <w:tc>
          <w:tcPr>
            <w:tcW w:w="1091"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资料阅读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13</w:t>
            </w:r>
          </w:p>
        </w:tc>
        <w:tc>
          <w:tcPr>
            <w:tcW w:w="1729"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left"/>
              <w:textAlignment w:val="auto"/>
              <w:rPr>
                <w:rFonts w:ascii="宋体" w:hAnsi="宋体" w:eastAsia="宋体"/>
                <w:sz w:val="21"/>
                <w:szCs w:val="21"/>
                <w:lang w:eastAsia="zh-CN"/>
              </w:rPr>
            </w:pPr>
            <w:r>
              <w:rPr>
                <w:rFonts w:hint="eastAsia" w:ascii="宋体" w:hAnsi="宋体" w:eastAsia="宋体"/>
                <w:sz w:val="21"/>
                <w:szCs w:val="21"/>
                <w:lang w:eastAsia="zh-CN"/>
              </w:rPr>
              <w:t>公共财政管理</w:t>
            </w:r>
          </w:p>
        </w:tc>
        <w:tc>
          <w:tcPr>
            <w:tcW w:w="722"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2学时</w:t>
            </w:r>
          </w:p>
        </w:tc>
        <w:tc>
          <w:tcPr>
            <w:tcW w:w="3827"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1、公共支出的特点 2、公共支出的分类</w:t>
            </w:r>
          </w:p>
        </w:tc>
        <w:tc>
          <w:tcPr>
            <w:tcW w:w="1383"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课堂讲授、</w:t>
            </w:r>
            <w:r>
              <w:rPr>
                <w:rFonts w:hint="eastAsia" w:ascii="宋体" w:hAnsi="宋体" w:eastAsia="宋体"/>
                <w:b/>
                <w:bCs/>
                <w:sz w:val="21"/>
                <w:szCs w:val="21"/>
                <w:lang w:eastAsia="zh-CN"/>
              </w:rPr>
              <w:t>小组展示</w:t>
            </w:r>
          </w:p>
        </w:tc>
        <w:tc>
          <w:tcPr>
            <w:tcW w:w="1091"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资料阅读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val="en-US" w:eastAsia="zh-CN"/>
              </w:rPr>
            </w:pPr>
            <w:r>
              <w:rPr>
                <w:rFonts w:hint="eastAsia" w:ascii="宋体" w:hAnsi="宋体" w:eastAsia="宋体"/>
                <w:sz w:val="21"/>
                <w:szCs w:val="21"/>
                <w:lang w:val="en-US" w:eastAsia="zh-CN"/>
              </w:rPr>
              <w:t>14</w:t>
            </w:r>
          </w:p>
        </w:tc>
        <w:tc>
          <w:tcPr>
            <w:tcW w:w="172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left"/>
              <w:textAlignment w:val="auto"/>
              <w:rPr>
                <w:rFonts w:ascii="宋体" w:hAnsi="宋体" w:eastAsia="宋体"/>
                <w:sz w:val="21"/>
                <w:szCs w:val="21"/>
                <w:lang w:eastAsia="zh-CN"/>
              </w:rPr>
            </w:pPr>
            <w:r>
              <w:rPr>
                <w:rFonts w:ascii="宋体" w:hAnsi="宋体" w:eastAsia="宋体"/>
                <w:sz w:val="21"/>
                <w:szCs w:val="21"/>
                <w:lang w:eastAsia="zh-CN"/>
              </w:rPr>
              <w:t>公共</w:t>
            </w:r>
            <w:r>
              <w:rPr>
                <w:rFonts w:hint="eastAsia" w:ascii="宋体" w:hAnsi="宋体" w:eastAsia="宋体"/>
                <w:sz w:val="21"/>
                <w:szCs w:val="21"/>
                <w:lang w:eastAsia="zh-CN"/>
              </w:rPr>
              <w:t>部门危机管理</w:t>
            </w:r>
          </w:p>
        </w:tc>
        <w:tc>
          <w:tcPr>
            <w:tcW w:w="7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2学时</w:t>
            </w:r>
          </w:p>
        </w:tc>
        <w:tc>
          <w:tcPr>
            <w:tcW w:w="382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val="en-US" w:eastAsia="zh-CN"/>
              </w:rPr>
            </w:pPr>
            <w:r>
              <w:rPr>
                <w:rFonts w:hint="eastAsia" w:ascii="宋体" w:hAnsi="宋体" w:eastAsia="宋体"/>
                <w:sz w:val="21"/>
                <w:szCs w:val="21"/>
                <w:lang w:eastAsia="zh-CN"/>
              </w:rPr>
              <w:t>1、公共突发事件的类型与特征；</w:t>
            </w:r>
            <w:r>
              <w:rPr>
                <w:rFonts w:hint="eastAsia" w:ascii="宋体" w:hAnsi="宋体" w:eastAsia="宋体"/>
                <w:sz w:val="21"/>
                <w:szCs w:val="21"/>
                <w:lang w:val="en-US" w:eastAsia="zh-CN"/>
              </w:rPr>
              <w:t xml:space="preserve"> 2、公共危机管理流程 3、公共危机管理原则</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课堂讲授</w:t>
            </w:r>
            <w:r>
              <w:rPr>
                <w:rFonts w:hint="eastAsia" w:ascii="宋体" w:hAnsi="宋体" w:eastAsia="宋体"/>
                <w:sz w:val="21"/>
                <w:szCs w:val="21"/>
                <w:lang w:eastAsia="zh-CN"/>
              </w:rPr>
              <w:t>、案例分析</w:t>
            </w:r>
          </w:p>
        </w:tc>
        <w:tc>
          <w:tcPr>
            <w:tcW w:w="1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资料阅读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val="en-US" w:eastAsia="zh-CN"/>
              </w:rPr>
            </w:pPr>
            <w:r>
              <w:rPr>
                <w:rFonts w:hint="eastAsia" w:ascii="宋体" w:hAnsi="宋体" w:eastAsia="宋体"/>
                <w:sz w:val="21"/>
                <w:szCs w:val="21"/>
                <w:lang w:val="en-US" w:eastAsia="zh-CN"/>
              </w:rPr>
              <w:t>15</w:t>
            </w:r>
          </w:p>
        </w:tc>
        <w:tc>
          <w:tcPr>
            <w:tcW w:w="172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left"/>
              <w:textAlignment w:val="auto"/>
              <w:rPr>
                <w:rFonts w:ascii="宋体" w:hAnsi="宋体" w:eastAsia="宋体"/>
                <w:sz w:val="21"/>
                <w:szCs w:val="21"/>
                <w:lang w:eastAsia="zh-CN"/>
              </w:rPr>
            </w:pPr>
            <w:r>
              <w:rPr>
                <w:rFonts w:hint="eastAsia" w:ascii="宋体" w:hAnsi="宋体" w:eastAsia="宋体"/>
                <w:sz w:val="21"/>
                <w:szCs w:val="21"/>
                <w:lang w:eastAsia="zh-CN"/>
              </w:rPr>
              <w:t>第三部门与公共管理</w:t>
            </w:r>
          </w:p>
        </w:tc>
        <w:tc>
          <w:tcPr>
            <w:tcW w:w="7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2学时</w:t>
            </w:r>
          </w:p>
        </w:tc>
        <w:tc>
          <w:tcPr>
            <w:tcW w:w="382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val="en-US" w:eastAsia="zh-CN"/>
              </w:rPr>
            </w:pPr>
            <w:r>
              <w:rPr>
                <w:rFonts w:hint="eastAsia" w:ascii="宋体" w:hAnsi="宋体" w:eastAsia="宋体"/>
                <w:sz w:val="21"/>
                <w:szCs w:val="21"/>
                <w:lang w:eastAsia="zh-CN"/>
              </w:rPr>
              <w:t>1、第三部门的特征；2、第三部门的类型；</w:t>
            </w:r>
            <w:r>
              <w:rPr>
                <w:rFonts w:hint="eastAsia" w:ascii="宋体" w:hAnsi="宋体" w:eastAsia="宋体"/>
                <w:sz w:val="21"/>
                <w:szCs w:val="21"/>
                <w:lang w:val="en-US" w:eastAsia="zh-CN"/>
              </w:rPr>
              <w:t>3、第三部门在公共管理中的角色与功能</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课堂讲授</w:t>
            </w:r>
            <w:r>
              <w:rPr>
                <w:rFonts w:hint="eastAsia" w:ascii="宋体" w:hAnsi="宋体" w:eastAsia="宋体"/>
                <w:sz w:val="21"/>
                <w:szCs w:val="21"/>
                <w:lang w:eastAsia="zh-CN"/>
              </w:rPr>
              <w:t>、案例分析</w:t>
            </w:r>
          </w:p>
        </w:tc>
        <w:tc>
          <w:tcPr>
            <w:tcW w:w="1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一次作业（分析某一个具体组织是否属于第三部门，以及在公共管理中的作用）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val="en-US" w:eastAsia="zh-CN"/>
              </w:rPr>
            </w:pPr>
            <w:r>
              <w:rPr>
                <w:rFonts w:hint="eastAsia" w:ascii="宋体" w:hAnsi="宋体" w:eastAsia="宋体"/>
                <w:sz w:val="21"/>
                <w:szCs w:val="21"/>
                <w:lang w:val="en-US" w:eastAsia="zh-CN"/>
              </w:rPr>
              <w:t>16</w:t>
            </w:r>
          </w:p>
        </w:tc>
        <w:tc>
          <w:tcPr>
            <w:tcW w:w="172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left"/>
              <w:textAlignment w:val="auto"/>
              <w:rPr>
                <w:rFonts w:ascii="宋体" w:hAnsi="宋体" w:eastAsia="宋体"/>
                <w:sz w:val="21"/>
                <w:szCs w:val="21"/>
                <w:lang w:eastAsia="zh-CN"/>
              </w:rPr>
            </w:pPr>
            <w:r>
              <w:rPr>
                <w:rFonts w:hint="eastAsia" w:ascii="宋体" w:hAnsi="宋体" w:eastAsia="宋体"/>
                <w:sz w:val="21"/>
                <w:szCs w:val="21"/>
                <w:lang w:eastAsia="zh-CN"/>
              </w:rPr>
              <w:t>第三部门与公共管理</w:t>
            </w:r>
          </w:p>
        </w:tc>
        <w:tc>
          <w:tcPr>
            <w:tcW w:w="7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2学时</w:t>
            </w:r>
          </w:p>
        </w:tc>
        <w:tc>
          <w:tcPr>
            <w:tcW w:w="382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val="en-US" w:eastAsia="zh-CN"/>
              </w:rPr>
            </w:pPr>
            <w:r>
              <w:rPr>
                <w:rFonts w:hint="eastAsia" w:ascii="宋体" w:hAnsi="宋体" w:eastAsia="宋体"/>
                <w:sz w:val="21"/>
                <w:szCs w:val="21"/>
                <w:lang w:val="en-US" w:eastAsia="zh-CN"/>
              </w:rPr>
              <w:t>1、中西方第三部门发展差异； 2、第三部门与政府改革的关系</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课堂讲授</w:t>
            </w:r>
          </w:p>
        </w:tc>
        <w:tc>
          <w:tcPr>
            <w:tcW w:w="1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资料阅读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val="en-US" w:eastAsia="zh-CN"/>
              </w:rPr>
            </w:pPr>
            <w:r>
              <w:rPr>
                <w:rFonts w:hint="eastAsia" w:ascii="宋体" w:hAnsi="宋体" w:eastAsia="宋体"/>
                <w:sz w:val="21"/>
                <w:szCs w:val="21"/>
                <w:lang w:val="en-US" w:eastAsia="zh-CN"/>
              </w:rPr>
              <w:t>17</w:t>
            </w:r>
          </w:p>
        </w:tc>
        <w:tc>
          <w:tcPr>
            <w:tcW w:w="172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left"/>
              <w:textAlignment w:val="auto"/>
              <w:rPr>
                <w:rFonts w:ascii="宋体" w:hAnsi="宋体" w:eastAsia="宋体"/>
                <w:sz w:val="21"/>
                <w:szCs w:val="21"/>
                <w:lang w:eastAsia="zh-CN"/>
              </w:rPr>
            </w:pPr>
            <w:r>
              <w:rPr>
                <w:rFonts w:hint="eastAsia" w:ascii="宋体" w:hAnsi="宋体" w:eastAsia="宋体"/>
                <w:sz w:val="21"/>
                <w:szCs w:val="21"/>
                <w:lang w:eastAsia="zh-CN"/>
              </w:rPr>
              <w:t>公共部门的责任和伦理</w:t>
            </w:r>
          </w:p>
        </w:tc>
        <w:tc>
          <w:tcPr>
            <w:tcW w:w="7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val="en-US" w:eastAsia="zh-CN"/>
              </w:rPr>
            </w:pPr>
            <w:r>
              <w:rPr>
                <w:rFonts w:hint="eastAsia" w:ascii="宋体" w:hAnsi="宋体" w:eastAsia="宋体"/>
                <w:sz w:val="21"/>
                <w:szCs w:val="21"/>
                <w:lang w:val="en-US" w:eastAsia="zh-CN"/>
              </w:rPr>
              <w:t>2学时</w:t>
            </w:r>
          </w:p>
        </w:tc>
        <w:tc>
          <w:tcPr>
            <w:tcW w:w="382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val="en-US" w:eastAsia="zh-CN"/>
              </w:rPr>
            </w:pPr>
            <w:r>
              <w:rPr>
                <w:rFonts w:hint="eastAsia" w:ascii="宋体" w:hAnsi="宋体" w:eastAsia="宋体"/>
                <w:sz w:val="21"/>
                <w:szCs w:val="21"/>
                <w:lang w:val="en-US" w:eastAsia="zh-CN"/>
              </w:rPr>
              <w:t>1、公共责任的内涵； 2、公共责任的控制 3、公共伦理的内涵</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课堂讲授</w:t>
            </w:r>
          </w:p>
        </w:tc>
        <w:tc>
          <w:tcPr>
            <w:tcW w:w="1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资料阅读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val="en-US" w:eastAsia="zh-CN"/>
              </w:rPr>
            </w:pPr>
            <w:r>
              <w:rPr>
                <w:rFonts w:hint="eastAsia" w:ascii="宋体" w:hAnsi="宋体" w:eastAsia="宋体"/>
                <w:sz w:val="21"/>
                <w:szCs w:val="21"/>
                <w:lang w:val="en-US" w:eastAsia="zh-CN"/>
              </w:rPr>
              <w:t>18</w:t>
            </w:r>
          </w:p>
        </w:tc>
        <w:tc>
          <w:tcPr>
            <w:tcW w:w="172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left"/>
              <w:textAlignment w:val="auto"/>
              <w:rPr>
                <w:rFonts w:ascii="宋体" w:hAnsi="宋体" w:eastAsia="宋体"/>
                <w:sz w:val="21"/>
                <w:szCs w:val="21"/>
                <w:lang w:eastAsia="zh-CN"/>
              </w:rPr>
            </w:pPr>
            <w:r>
              <w:rPr>
                <w:rFonts w:hint="eastAsia" w:ascii="宋体" w:hAnsi="宋体" w:eastAsia="宋体"/>
                <w:sz w:val="21"/>
                <w:szCs w:val="21"/>
                <w:lang w:eastAsia="zh-CN"/>
              </w:rPr>
              <w:t>公共部门的责任和伦理</w:t>
            </w:r>
          </w:p>
        </w:tc>
        <w:tc>
          <w:tcPr>
            <w:tcW w:w="7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val="en-US" w:eastAsia="zh-CN"/>
              </w:rPr>
            </w:pPr>
            <w:r>
              <w:rPr>
                <w:rFonts w:hint="eastAsia" w:ascii="宋体" w:hAnsi="宋体" w:eastAsia="宋体"/>
                <w:sz w:val="21"/>
                <w:szCs w:val="21"/>
                <w:lang w:val="en-US" w:eastAsia="zh-CN"/>
              </w:rPr>
              <w:t>2学时</w:t>
            </w:r>
          </w:p>
        </w:tc>
        <w:tc>
          <w:tcPr>
            <w:tcW w:w="382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val="en-US" w:eastAsia="zh-CN"/>
              </w:rPr>
            </w:pPr>
            <w:r>
              <w:rPr>
                <w:rFonts w:hint="eastAsia" w:ascii="宋体" w:hAnsi="宋体" w:eastAsia="宋体"/>
                <w:sz w:val="21"/>
                <w:szCs w:val="21"/>
                <w:lang w:val="en-US" w:eastAsia="zh-CN"/>
              </w:rPr>
              <w:t>公共部门伦理失范的原因、表现和伦理建设</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课堂讲授、案例分析</w:t>
            </w:r>
          </w:p>
        </w:tc>
        <w:tc>
          <w:tcPr>
            <w:tcW w:w="1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资料阅读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8" w:type="dxa"/>
            <w:gridSpan w:val="3"/>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right"/>
              <w:textAlignment w:val="auto"/>
              <w:rPr>
                <w:rFonts w:ascii="宋体" w:hAnsi="宋体" w:eastAsia="宋体"/>
                <w:sz w:val="21"/>
                <w:szCs w:val="21"/>
              </w:rPr>
            </w:pPr>
            <w:r>
              <w:rPr>
                <w:rFonts w:hint="eastAsia" w:ascii="宋体" w:hAnsi="宋体" w:eastAsia="宋体"/>
                <w:b/>
                <w:sz w:val="21"/>
                <w:szCs w:val="21"/>
              </w:rPr>
              <w:t>合计：</w:t>
            </w:r>
          </w:p>
        </w:tc>
        <w:tc>
          <w:tcPr>
            <w:tcW w:w="722"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36学时</w:t>
            </w:r>
          </w:p>
        </w:tc>
        <w:tc>
          <w:tcPr>
            <w:tcW w:w="3827" w:type="dxa"/>
            <w:gridSpan w:val="2"/>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383" w:type="dxa"/>
            <w:gridSpan w:val="2"/>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091"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shd w:val="clear" w:color="auto" w:fill="C0C0C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jc w:val="center"/>
              <w:textAlignment w:val="auto"/>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jc w:val="center"/>
              <w:textAlignment w:val="auto"/>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5"/>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jc w:val="center"/>
              <w:textAlignment w:val="auto"/>
              <w:rPr>
                <w:rFonts w:ascii="宋体" w:hAnsi="宋体" w:eastAsia="宋体"/>
                <w:b/>
                <w:sz w:val="21"/>
                <w:szCs w:val="21"/>
              </w:rPr>
            </w:pPr>
            <w:r>
              <w:rPr>
                <w:rFonts w:hint="eastAsia" w:ascii="宋体" w:hAnsi="宋体" w:eastAsia="宋体"/>
                <w:b/>
                <w:sz w:val="21"/>
                <w:szCs w:val="21"/>
              </w:rPr>
              <w:t>评价标准</w:t>
            </w:r>
          </w:p>
        </w:tc>
        <w:tc>
          <w:tcPr>
            <w:tcW w:w="1581"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jc w:val="center"/>
              <w:textAlignment w:val="auto"/>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rPr>
            </w:pPr>
            <w:r>
              <w:rPr>
                <w:rFonts w:ascii="宋体" w:hAnsi="宋体" w:eastAsia="宋体"/>
                <w:sz w:val="21"/>
                <w:szCs w:val="21"/>
              </w:rPr>
              <w:t>出勤</w:t>
            </w:r>
          </w:p>
        </w:tc>
        <w:tc>
          <w:tcPr>
            <w:tcW w:w="5811" w:type="dxa"/>
            <w:gridSpan w:val="5"/>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不得无故缺席</w:t>
            </w:r>
            <w:r>
              <w:rPr>
                <w:rFonts w:hint="eastAsia" w:ascii="宋体" w:hAnsi="宋体" w:eastAsia="宋体"/>
                <w:sz w:val="21"/>
                <w:szCs w:val="21"/>
                <w:lang w:eastAsia="zh-CN"/>
              </w:rPr>
              <w:t>，</w:t>
            </w:r>
            <w:r>
              <w:rPr>
                <w:rFonts w:ascii="宋体" w:hAnsi="宋体" w:eastAsia="宋体"/>
                <w:sz w:val="21"/>
                <w:szCs w:val="21"/>
                <w:lang w:eastAsia="zh-CN"/>
              </w:rPr>
              <w:t>学生生病或其他紧急情况确实无法上课</w:t>
            </w:r>
            <w:r>
              <w:rPr>
                <w:rFonts w:hint="eastAsia" w:ascii="宋体" w:hAnsi="宋体" w:eastAsia="宋体"/>
                <w:sz w:val="21"/>
                <w:szCs w:val="21"/>
                <w:lang w:eastAsia="zh-CN"/>
              </w:rPr>
              <w:t>，</w:t>
            </w:r>
            <w:r>
              <w:rPr>
                <w:rFonts w:ascii="宋体" w:hAnsi="宋体" w:eastAsia="宋体"/>
                <w:sz w:val="21"/>
                <w:szCs w:val="21"/>
                <w:lang w:eastAsia="zh-CN"/>
              </w:rPr>
              <w:t>必须按照学校规定办理请假手续</w:t>
            </w:r>
            <w:r>
              <w:rPr>
                <w:rFonts w:hint="eastAsia" w:ascii="宋体" w:hAnsi="宋体" w:eastAsia="宋体"/>
                <w:sz w:val="21"/>
                <w:szCs w:val="21"/>
                <w:lang w:eastAsia="zh-CN"/>
              </w:rPr>
              <w:t>；旷课1次扣2分，</w:t>
            </w:r>
            <w:r>
              <w:rPr>
                <w:rFonts w:hint="eastAsia" w:ascii="宋体" w:hAnsi="宋体" w:eastAsia="宋体"/>
                <w:b/>
                <w:bCs/>
                <w:sz w:val="21"/>
                <w:szCs w:val="21"/>
                <w:lang w:eastAsia="zh-CN"/>
              </w:rPr>
              <w:t>旷课3次及以上取消期末考试资格。</w:t>
            </w:r>
          </w:p>
        </w:tc>
        <w:tc>
          <w:tcPr>
            <w:tcW w:w="1581"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ascii="宋体" w:hAnsi="宋体" w:eastAsia="宋体"/>
                <w:sz w:val="21"/>
                <w:szCs w:val="21"/>
                <w:lang w:eastAsia="zh-CN"/>
              </w:rPr>
            </w:pPr>
            <w:r>
              <w:rPr>
                <w:rFonts w:hint="eastAsia" w:ascii="宋体" w:hAnsi="宋体" w:eastAsia="宋体"/>
                <w:sz w:val="21"/>
                <w:szCs w:val="21"/>
                <w:lang w:val="en-US" w:eastAsia="zh-CN"/>
              </w:rPr>
              <w:t>综合</w:t>
            </w:r>
            <w:r>
              <w:rPr>
                <w:rFonts w:hint="eastAsia" w:ascii="宋体" w:hAnsi="宋体" w:eastAsia="宋体"/>
                <w:sz w:val="21"/>
                <w:szCs w:val="21"/>
                <w:lang w:eastAsia="zh-CN"/>
              </w:rPr>
              <w:t>成绩的5%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课堂参与</w:t>
            </w:r>
            <w:r>
              <w:rPr>
                <w:rFonts w:hint="eastAsia" w:ascii="宋体" w:hAnsi="宋体" w:eastAsia="宋体"/>
                <w:sz w:val="21"/>
                <w:szCs w:val="21"/>
                <w:lang w:eastAsia="zh-CN"/>
              </w:rPr>
              <w:t>（线上线下）</w:t>
            </w:r>
          </w:p>
        </w:tc>
        <w:tc>
          <w:tcPr>
            <w:tcW w:w="5811" w:type="dxa"/>
            <w:gridSpan w:val="5"/>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根据学生</w:t>
            </w:r>
            <w:r>
              <w:rPr>
                <w:rFonts w:hint="eastAsia" w:ascii="宋体" w:hAnsi="宋体" w:eastAsia="宋体"/>
                <w:sz w:val="21"/>
                <w:szCs w:val="21"/>
                <w:lang w:eastAsia="zh-CN"/>
              </w:rPr>
              <w:t>课堂</w:t>
            </w:r>
            <w:r>
              <w:rPr>
                <w:rFonts w:ascii="宋体" w:hAnsi="宋体" w:eastAsia="宋体"/>
                <w:sz w:val="21"/>
                <w:szCs w:val="21"/>
                <w:lang w:eastAsia="zh-CN"/>
              </w:rPr>
              <w:t>参与讨论</w:t>
            </w:r>
            <w:r>
              <w:rPr>
                <w:rFonts w:hint="eastAsia" w:ascii="宋体" w:hAnsi="宋体" w:eastAsia="宋体"/>
                <w:sz w:val="21"/>
                <w:szCs w:val="21"/>
                <w:lang w:eastAsia="zh-CN"/>
              </w:rPr>
              <w:t>酌情给分。</w:t>
            </w:r>
          </w:p>
        </w:tc>
        <w:tc>
          <w:tcPr>
            <w:tcW w:w="1581"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ascii="宋体" w:hAnsi="宋体" w:eastAsia="宋体"/>
                <w:sz w:val="21"/>
                <w:szCs w:val="21"/>
                <w:lang w:val="en-US" w:eastAsia="zh-CN"/>
              </w:rPr>
            </w:pPr>
            <w:r>
              <w:rPr>
                <w:rFonts w:hint="eastAsia" w:ascii="宋体" w:hAnsi="宋体" w:eastAsia="宋体"/>
                <w:sz w:val="21"/>
                <w:szCs w:val="21"/>
                <w:lang w:val="en-US" w:eastAsia="zh-CN"/>
              </w:rPr>
              <w:t>综合</w:t>
            </w:r>
            <w:r>
              <w:rPr>
                <w:rFonts w:hint="eastAsia" w:ascii="宋体" w:hAnsi="宋体" w:eastAsia="宋体"/>
                <w:sz w:val="21"/>
                <w:szCs w:val="21"/>
                <w:lang w:eastAsia="zh-CN"/>
              </w:rPr>
              <w:t>成绩的</w:t>
            </w:r>
            <w:r>
              <w:rPr>
                <w:rFonts w:hint="eastAsia" w:ascii="宋体" w:hAnsi="宋体" w:eastAsia="宋体"/>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作业</w:t>
            </w:r>
          </w:p>
        </w:tc>
        <w:tc>
          <w:tcPr>
            <w:tcW w:w="5811" w:type="dxa"/>
            <w:gridSpan w:val="5"/>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lang w:val="en-US" w:eastAsia="zh-CN"/>
              </w:rPr>
            </w:pPr>
            <w:r>
              <w:rPr>
                <w:rFonts w:ascii="宋体" w:hAnsi="宋体" w:eastAsia="宋体"/>
                <w:sz w:val="21"/>
                <w:szCs w:val="21"/>
                <w:lang w:eastAsia="zh-CN"/>
              </w:rPr>
              <w:t>根据作业完成质量给分</w:t>
            </w:r>
            <w:r>
              <w:rPr>
                <w:rFonts w:hint="eastAsia" w:ascii="宋体" w:hAnsi="宋体" w:eastAsia="宋体"/>
                <w:sz w:val="21"/>
                <w:szCs w:val="21"/>
                <w:lang w:eastAsia="zh-CN"/>
              </w:rPr>
              <w:t>，</w:t>
            </w:r>
            <w:r>
              <w:rPr>
                <w:rFonts w:hint="eastAsia" w:ascii="宋体" w:hAnsi="宋体" w:eastAsia="宋体"/>
                <w:b/>
                <w:bCs/>
                <w:sz w:val="21"/>
                <w:szCs w:val="21"/>
                <w:lang w:val="en-US" w:eastAsia="zh-CN"/>
              </w:rPr>
              <w:t>2次作业未提交取消期末考试资格。</w:t>
            </w:r>
          </w:p>
        </w:tc>
        <w:tc>
          <w:tcPr>
            <w:tcW w:w="1581"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ascii="宋体" w:hAnsi="宋体" w:eastAsia="宋体"/>
                <w:sz w:val="21"/>
                <w:szCs w:val="21"/>
                <w:lang w:eastAsia="zh-CN"/>
              </w:rPr>
            </w:pPr>
            <w:r>
              <w:rPr>
                <w:rFonts w:hint="eastAsia" w:ascii="宋体" w:hAnsi="宋体" w:eastAsia="宋体"/>
                <w:sz w:val="21"/>
                <w:szCs w:val="21"/>
                <w:lang w:val="en-US" w:eastAsia="zh-CN"/>
              </w:rPr>
              <w:t>综合</w:t>
            </w:r>
            <w:r>
              <w:rPr>
                <w:rFonts w:hint="eastAsia" w:ascii="宋体" w:hAnsi="宋体" w:eastAsia="宋体"/>
                <w:sz w:val="21"/>
                <w:szCs w:val="21"/>
                <w:lang w:eastAsia="zh-CN"/>
              </w:rPr>
              <w:t>成绩的</w:t>
            </w:r>
            <w:r>
              <w:rPr>
                <w:rFonts w:hint="eastAsia" w:ascii="宋体" w:hAnsi="宋体" w:eastAsia="宋体"/>
                <w:sz w:val="21"/>
                <w:szCs w:val="21"/>
                <w:lang w:val="en-US" w:eastAsia="zh-CN"/>
              </w:rPr>
              <w:t>15</w:t>
            </w:r>
            <w:r>
              <w:rPr>
                <w:rFonts w:hint="eastAsia" w:ascii="宋体" w:hAnsi="宋体" w:eastAsia="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期末考试</w:t>
            </w:r>
          </w:p>
        </w:tc>
        <w:tc>
          <w:tcPr>
            <w:tcW w:w="5811" w:type="dxa"/>
            <w:gridSpan w:val="5"/>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考察学生对本学期讲授内容的了解和掌握程度。</w:t>
            </w:r>
          </w:p>
        </w:tc>
        <w:tc>
          <w:tcPr>
            <w:tcW w:w="1581"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ascii="宋体" w:hAnsi="宋体" w:eastAsia="宋体"/>
                <w:sz w:val="21"/>
                <w:szCs w:val="21"/>
                <w:lang w:eastAsia="zh-CN"/>
              </w:rPr>
            </w:pPr>
            <w:r>
              <w:rPr>
                <w:rFonts w:hint="eastAsia" w:ascii="宋体" w:hAnsi="宋体" w:eastAsia="宋体"/>
                <w:sz w:val="21"/>
                <w:szCs w:val="21"/>
                <w:lang w:eastAsia="zh-CN"/>
              </w:rPr>
              <w:t>综合成绩的70%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b/>
                <w:sz w:val="21"/>
                <w:szCs w:val="21"/>
                <w:lang w:eastAsia="zh-CN"/>
              </w:rPr>
            </w:pPr>
            <w:r>
              <w:rPr>
                <w:rFonts w:hint="eastAsia" w:ascii="宋体" w:hAnsi="宋体" w:eastAsia="宋体"/>
                <w:b/>
                <w:sz w:val="21"/>
                <w:szCs w:val="21"/>
                <w:lang w:eastAsia="zh-CN"/>
              </w:rPr>
              <w:t>大纲编写时间：201</w:t>
            </w:r>
            <w:r>
              <w:rPr>
                <w:rFonts w:hint="eastAsia" w:ascii="宋体" w:hAnsi="宋体" w:eastAsia="宋体"/>
                <w:b/>
                <w:sz w:val="21"/>
                <w:szCs w:val="21"/>
                <w:lang w:val="en-US" w:eastAsia="zh-CN"/>
              </w:rPr>
              <w:t>8</w:t>
            </w:r>
            <w:r>
              <w:rPr>
                <w:rFonts w:hint="eastAsia" w:ascii="宋体" w:hAnsi="宋体" w:eastAsia="宋体"/>
                <w:b/>
                <w:sz w:val="21"/>
                <w:szCs w:val="21"/>
                <w:lang w:eastAsia="zh-CN"/>
              </w:rPr>
              <w:t>年</w:t>
            </w:r>
            <w:r>
              <w:rPr>
                <w:rFonts w:hint="eastAsia" w:ascii="宋体" w:hAnsi="宋体" w:eastAsia="宋体"/>
                <w:b/>
                <w:sz w:val="21"/>
                <w:szCs w:val="21"/>
                <w:lang w:val="en-US" w:eastAsia="zh-CN"/>
              </w:rPr>
              <w:t>8</w:t>
            </w:r>
            <w:r>
              <w:rPr>
                <w:rFonts w:hint="eastAsia" w:ascii="宋体" w:hAnsi="宋体" w:eastAsia="宋体"/>
                <w:b/>
                <w:sz w:val="21"/>
                <w:szCs w:val="21"/>
                <w:lang w:eastAsia="zh-CN"/>
              </w:rPr>
              <w:t>月</w:t>
            </w:r>
            <w:r>
              <w:rPr>
                <w:rFonts w:hint="eastAsia" w:ascii="宋体" w:hAnsi="宋体" w:eastAsia="宋体"/>
                <w:b/>
                <w:sz w:val="21"/>
                <w:szCs w:val="21"/>
                <w:lang w:val="en-US" w:eastAsia="zh-CN"/>
              </w:rPr>
              <w:t>20</w:t>
            </w:r>
            <w:r>
              <w:rPr>
                <w:rFonts w:hint="eastAsia" w:ascii="宋体" w:hAnsi="宋体" w:eastAsia="宋体"/>
                <w:b/>
                <w:sz w:val="21"/>
                <w:szCs w:val="21"/>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9" w:hRule="atLeast"/>
          <w:jc w:val="center"/>
        </w:trPr>
        <w:tc>
          <w:tcPr>
            <w:tcW w:w="9401" w:type="dxa"/>
            <w:gridSpan w:val="9"/>
          </w:tcPr>
          <w:p>
            <w:pPr>
              <w:keepNext w:val="0"/>
              <w:keepLines w:val="0"/>
              <w:pageBreakBefore w:val="0"/>
              <w:widowControl/>
              <w:tabs>
                <w:tab w:val="left" w:pos="1440"/>
              </w:tabs>
              <w:kinsoku/>
              <w:wordWrap/>
              <w:overflowPunct/>
              <w:topLinePunct w:val="0"/>
              <w:autoSpaceDE/>
              <w:autoSpaceDN/>
              <w:bidi w:val="0"/>
              <w:adjustRightInd/>
              <w:spacing w:after="0" w:line="360" w:lineRule="exact"/>
              <w:jc w:val="left"/>
              <w:textAlignment w:val="auto"/>
              <w:outlineLvl w:val="0"/>
              <w:rPr>
                <w:rFonts w:ascii="宋体" w:hAnsi="宋体" w:eastAsia="宋体"/>
                <w:b/>
                <w:szCs w:val="21"/>
                <w:lang w:eastAsia="zh-CN"/>
              </w:rPr>
            </w:pPr>
            <w:r>
              <w:rPr>
                <w:rFonts w:hint="eastAsia" w:ascii="宋体" w:hAnsi="宋体" w:eastAsia="宋体"/>
                <w:b/>
                <w:szCs w:val="21"/>
                <w:lang w:eastAsia="zh-CN"/>
              </w:rPr>
              <w:t>系（部）审查意见：</w:t>
            </w:r>
          </w:p>
          <w:p>
            <w:pPr>
              <w:keepNext w:val="0"/>
              <w:keepLines w:val="0"/>
              <w:pageBreakBefore w:val="0"/>
              <w:widowControl/>
              <w:kinsoku/>
              <w:wordWrap/>
              <w:overflowPunct/>
              <w:topLinePunct w:val="0"/>
              <w:autoSpaceDE/>
              <w:autoSpaceDN/>
              <w:bidi w:val="0"/>
              <w:adjustRightInd/>
              <w:spacing w:after="0" w:line="360" w:lineRule="exact"/>
              <w:ind w:firstLine="57" w:firstLineChars="27"/>
              <w:jc w:val="left"/>
              <w:textAlignment w:val="auto"/>
              <w:rPr>
                <w:rFonts w:ascii="宋体" w:hAnsi="宋体" w:eastAsia="宋体"/>
                <w:b/>
                <w:sz w:val="21"/>
                <w:szCs w:val="21"/>
                <w:lang w:eastAsia="zh-CN"/>
              </w:rPr>
            </w:pPr>
          </w:p>
          <w:p>
            <w:pPr>
              <w:keepNext w:val="0"/>
              <w:keepLines w:val="0"/>
              <w:pageBreakBefore w:val="0"/>
              <w:widowControl/>
              <w:kinsoku/>
              <w:wordWrap/>
              <w:overflowPunct/>
              <w:topLinePunct w:val="0"/>
              <w:autoSpaceDE/>
              <w:autoSpaceDN/>
              <w:bidi w:val="0"/>
              <w:adjustRightInd/>
              <w:spacing w:line="360" w:lineRule="exact"/>
              <w:ind w:firstLine="949" w:firstLineChars="450"/>
              <w:textAlignment w:val="auto"/>
              <w:rPr>
                <w:rFonts w:ascii="宋体" w:hAnsi="宋体"/>
                <w:szCs w:val="21"/>
                <w:lang w:eastAsia="zh-CN"/>
              </w:rPr>
            </w:pPr>
            <w:r>
              <w:rPr>
                <w:rFonts w:hint="eastAsia" w:ascii="宋体" w:hAnsi="宋体" w:eastAsia="宋体"/>
                <w:b/>
                <w:sz w:val="21"/>
                <w:szCs w:val="21"/>
                <w:lang w:eastAsia="zh-CN"/>
              </w:rPr>
              <w:t xml:space="preserve">    </w:t>
            </w:r>
            <w:r>
              <w:rPr>
                <w:rFonts w:hint="eastAsia" w:ascii="宋体" w:hAnsi="宋体" w:eastAsiaTheme="minorEastAsia"/>
                <w:szCs w:val="21"/>
                <w:lang w:eastAsia="zh-CN"/>
              </w:rPr>
              <w:t>本</w:t>
            </w:r>
            <w:r>
              <w:rPr>
                <w:rFonts w:hint="eastAsia" w:ascii="宋体" w:hAnsi="宋体"/>
                <w:szCs w:val="21"/>
                <w:lang w:eastAsia="zh-CN"/>
              </w:rPr>
              <w:t>系已对本课程教学大纲进行了审查，同意执行。</w:t>
            </w:r>
          </w:p>
          <w:p>
            <w:pPr>
              <w:keepNext w:val="0"/>
              <w:keepLines w:val="0"/>
              <w:pageBreakBefore w:val="0"/>
              <w:widowControl/>
              <w:kinsoku/>
              <w:wordWrap/>
              <w:overflowPunct/>
              <w:topLinePunct w:val="0"/>
              <w:autoSpaceDE/>
              <w:autoSpaceDN/>
              <w:bidi w:val="0"/>
              <w:adjustRightInd/>
              <w:spacing w:after="0" w:line="360" w:lineRule="exact"/>
              <w:ind w:right="420"/>
              <w:textAlignment w:val="auto"/>
              <w:rPr>
                <w:rFonts w:ascii="宋体" w:hAnsi="宋体" w:eastAsia="宋体"/>
                <w:sz w:val="21"/>
                <w:szCs w:val="21"/>
                <w:lang w:eastAsia="zh-CN"/>
              </w:rPr>
            </w:pPr>
          </w:p>
          <w:p>
            <w:pPr>
              <w:keepNext w:val="0"/>
              <w:keepLines w:val="0"/>
              <w:pageBreakBefore w:val="0"/>
              <w:widowControl/>
              <w:kinsoku/>
              <w:wordWrap/>
              <w:overflowPunct/>
              <w:topLinePunct w:val="0"/>
              <w:autoSpaceDE/>
              <w:autoSpaceDN/>
              <w:bidi w:val="0"/>
              <w:adjustRightInd/>
              <w:spacing w:after="0" w:line="360" w:lineRule="exact"/>
              <w:ind w:right="105"/>
              <w:jc w:val="right"/>
              <w:textAlignment w:val="auto"/>
              <w:rPr>
                <w:rFonts w:ascii="宋体" w:hAnsi="宋体" w:eastAsia="宋体"/>
                <w:sz w:val="21"/>
                <w:szCs w:val="21"/>
                <w:lang w:eastAsia="zh-CN"/>
              </w:rPr>
            </w:pPr>
            <w:r>
              <w:rPr>
                <w:rFonts w:hint="eastAsia" w:ascii="宋体" w:hAnsi="宋体" w:eastAsia="宋体"/>
                <w:sz w:val="21"/>
                <w:szCs w:val="21"/>
                <w:lang w:eastAsia="zh-CN"/>
              </w:rPr>
              <w:t>系主任签名：杨少星            日期：201</w:t>
            </w:r>
            <w:r>
              <w:rPr>
                <w:rFonts w:hint="eastAsia" w:ascii="宋体" w:hAnsi="宋体" w:eastAsia="宋体"/>
                <w:sz w:val="21"/>
                <w:szCs w:val="21"/>
                <w:lang w:val="en-US" w:eastAsia="zh-CN"/>
              </w:rPr>
              <w:t>8</w:t>
            </w:r>
            <w:r>
              <w:rPr>
                <w:rFonts w:hint="eastAsia" w:ascii="宋体" w:hAnsi="宋体" w:eastAsia="宋体"/>
                <w:sz w:val="21"/>
                <w:szCs w:val="21"/>
                <w:lang w:eastAsia="zh-CN"/>
              </w:rPr>
              <w:t>年 9 月   日</w:t>
            </w:r>
          </w:p>
        </w:tc>
      </w:tr>
    </w:tbl>
    <w:p>
      <w:pPr>
        <w:keepNext w:val="0"/>
        <w:keepLines w:val="0"/>
        <w:pageBreakBefore w:val="0"/>
        <w:widowControl/>
        <w:kinsoku/>
        <w:wordWrap/>
        <w:overflowPunct/>
        <w:topLinePunct w:val="0"/>
        <w:autoSpaceDE/>
        <w:autoSpaceDN/>
        <w:bidi w:val="0"/>
        <w:adjustRightInd/>
        <w:spacing w:line="360" w:lineRule="exact"/>
        <w:ind w:left="738" w:hanging="738" w:hangingChars="350"/>
        <w:textAlignment w:val="auto"/>
        <w:rPr>
          <w:rFonts w:ascii="宋体" w:hAnsi="宋体" w:eastAsia="宋体"/>
          <w:b/>
          <w:sz w:val="21"/>
          <w:szCs w:val="21"/>
          <w:lang w:eastAsia="zh-CN"/>
        </w:rPr>
      </w:pPr>
    </w:p>
    <w:bookmarkEnd w:id="0"/>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auto"/>
    <w:pitch w:val="default"/>
    <w:sig w:usb0="00000000" w:usb1="00000000" w:usb2="00000016" w:usb3="00000000" w:csb0="00100001" w:csb1="00000000"/>
  </w:font>
  <w:font w:name="DFKai-SB">
    <w:altName w:val="Microsoft JhengHei Light"/>
    <w:panose1 w:val="03000509000000000000"/>
    <w:charset w:val="88"/>
    <w:family w:val="script"/>
    <w:pitch w:val="default"/>
    <w:sig w:usb0="00000000" w:usb1="0000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Malgun Gothic Semilight">
    <w:panose1 w:val="020B0502040204020203"/>
    <w:charset w:val="86"/>
    <w:family w:val="swiss"/>
    <w:pitch w:val="default"/>
    <w:sig w:usb0="900002AF" w:usb1="01D77CFB" w:usb2="00000012" w:usb3="00000000" w:csb0="203E01BD" w:csb1="D7FF0000"/>
  </w:font>
  <w:font w:name="PMingLiU-ExtB">
    <w:panose1 w:val="02020500000000000000"/>
    <w:charset w:val="88"/>
    <w:family w:val="auto"/>
    <w:pitch w:val="default"/>
    <w:sig w:usb0="8000002F" w:usb1="02000008" w:usb2="00000000" w:usb3="00000000" w:csb0="00100001" w:csb1="00000000"/>
  </w:font>
  <w:font w:name="Microsoft JhengHei Light">
    <w:panose1 w:val="020B0304030504040204"/>
    <w:charset w:val="88"/>
    <w:family w:val="auto"/>
    <w:pitch w:val="default"/>
    <w:sig w:usb0="8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C20595E"/>
    <w:multiLevelType w:val="singleLevel"/>
    <w:tmpl w:val="EC20595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doNotDisplayPageBoundaries w:val="1"/>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C23799B"/>
    <w:rsid w:val="00034133"/>
    <w:rsid w:val="00061F27"/>
    <w:rsid w:val="0006698D"/>
    <w:rsid w:val="00073D60"/>
    <w:rsid w:val="00080DDC"/>
    <w:rsid w:val="00087B74"/>
    <w:rsid w:val="00091671"/>
    <w:rsid w:val="000B1D54"/>
    <w:rsid w:val="000B626E"/>
    <w:rsid w:val="000C17EE"/>
    <w:rsid w:val="000C2D4A"/>
    <w:rsid w:val="000C3065"/>
    <w:rsid w:val="000D5DC5"/>
    <w:rsid w:val="000E0AE8"/>
    <w:rsid w:val="00130210"/>
    <w:rsid w:val="00155E5A"/>
    <w:rsid w:val="001668BE"/>
    <w:rsid w:val="00171228"/>
    <w:rsid w:val="0019484A"/>
    <w:rsid w:val="001B31E9"/>
    <w:rsid w:val="001C62E8"/>
    <w:rsid w:val="001D28E8"/>
    <w:rsid w:val="001E0C49"/>
    <w:rsid w:val="001E4954"/>
    <w:rsid w:val="001F20BC"/>
    <w:rsid w:val="002111AE"/>
    <w:rsid w:val="00227119"/>
    <w:rsid w:val="00237D4C"/>
    <w:rsid w:val="002553B5"/>
    <w:rsid w:val="002663AC"/>
    <w:rsid w:val="002913DE"/>
    <w:rsid w:val="002E2151"/>
    <w:rsid w:val="002E27E1"/>
    <w:rsid w:val="003027D4"/>
    <w:rsid w:val="003044FA"/>
    <w:rsid w:val="00310D75"/>
    <w:rsid w:val="00325387"/>
    <w:rsid w:val="0033410D"/>
    <w:rsid w:val="0034084A"/>
    <w:rsid w:val="00363042"/>
    <w:rsid w:val="0037561C"/>
    <w:rsid w:val="00391C22"/>
    <w:rsid w:val="003A1903"/>
    <w:rsid w:val="003C354A"/>
    <w:rsid w:val="003C66D8"/>
    <w:rsid w:val="003E2F2C"/>
    <w:rsid w:val="003E66A6"/>
    <w:rsid w:val="00414FC8"/>
    <w:rsid w:val="004159D3"/>
    <w:rsid w:val="00457E42"/>
    <w:rsid w:val="00473E1E"/>
    <w:rsid w:val="0048009E"/>
    <w:rsid w:val="004B3994"/>
    <w:rsid w:val="004D79F9"/>
    <w:rsid w:val="004E0481"/>
    <w:rsid w:val="004E7804"/>
    <w:rsid w:val="00506B89"/>
    <w:rsid w:val="005639AB"/>
    <w:rsid w:val="005903AC"/>
    <w:rsid w:val="005911D3"/>
    <w:rsid w:val="0059270C"/>
    <w:rsid w:val="005A0DAF"/>
    <w:rsid w:val="005A5FAD"/>
    <w:rsid w:val="005B5173"/>
    <w:rsid w:val="005D003B"/>
    <w:rsid w:val="005D3B53"/>
    <w:rsid w:val="005E6ABE"/>
    <w:rsid w:val="005F174F"/>
    <w:rsid w:val="0061201C"/>
    <w:rsid w:val="006320D4"/>
    <w:rsid w:val="0063410F"/>
    <w:rsid w:val="0065651C"/>
    <w:rsid w:val="00685FD0"/>
    <w:rsid w:val="006F6B08"/>
    <w:rsid w:val="00735FDE"/>
    <w:rsid w:val="00762E92"/>
    <w:rsid w:val="00770F0D"/>
    <w:rsid w:val="00776AF2"/>
    <w:rsid w:val="00785779"/>
    <w:rsid w:val="007A154B"/>
    <w:rsid w:val="007B33C3"/>
    <w:rsid w:val="007F437B"/>
    <w:rsid w:val="008147FF"/>
    <w:rsid w:val="00815DE2"/>
    <w:rsid w:val="00815F78"/>
    <w:rsid w:val="00821A33"/>
    <w:rsid w:val="008512DF"/>
    <w:rsid w:val="00855020"/>
    <w:rsid w:val="008629F5"/>
    <w:rsid w:val="0087773C"/>
    <w:rsid w:val="00885EED"/>
    <w:rsid w:val="008861A9"/>
    <w:rsid w:val="00892ADC"/>
    <w:rsid w:val="00896971"/>
    <w:rsid w:val="008F6642"/>
    <w:rsid w:val="00917C66"/>
    <w:rsid w:val="009349EE"/>
    <w:rsid w:val="00997F0C"/>
    <w:rsid w:val="009A0F06"/>
    <w:rsid w:val="009A2B5C"/>
    <w:rsid w:val="009A3555"/>
    <w:rsid w:val="009B3EAE"/>
    <w:rsid w:val="009C3354"/>
    <w:rsid w:val="009D3079"/>
    <w:rsid w:val="00A204E2"/>
    <w:rsid w:val="00A33A00"/>
    <w:rsid w:val="00A37744"/>
    <w:rsid w:val="00A84D68"/>
    <w:rsid w:val="00A85774"/>
    <w:rsid w:val="00A95CCA"/>
    <w:rsid w:val="00AA199F"/>
    <w:rsid w:val="00AB00C2"/>
    <w:rsid w:val="00AC6299"/>
    <w:rsid w:val="00AE1473"/>
    <w:rsid w:val="00AE403D"/>
    <w:rsid w:val="00AE48DD"/>
    <w:rsid w:val="00B376D2"/>
    <w:rsid w:val="00B37E93"/>
    <w:rsid w:val="00B40DEE"/>
    <w:rsid w:val="00B80D72"/>
    <w:rsid w:val="00BA37E4"/>
    <w:rsid w:val="00BA60D6"/>
    <w:rsid w:val="00BB35F5"/>
    <w:rsid w:val="00BC0BF5"/>
    <w:rsid w:val="00C0713C"/>
    <w:rsid w:val="00C41D05"/>
    <w:rsid w:val="00C705DD"/>
    <w:rsid w:val="00C76FA2"/>
    <w:rsid w:val="00CA1AB8"/>
    <w:rsid w:val="00CC4A46"/>
    <w:rsid w:val="00CD2F8F"/>
    <w:rsid w:val="00CD3120"/>
    <w:rsid w:val="00CE1178"/>
    <w:rsid w:val="00D15FDF"/>
    <w:rsid w:val="00D23857"/>
    <w:rsid w:val="00D45246"/>
    <w:rsid w:val="00D62B41"/>
    <w:rsid w:val="00DB45CF"/>
    <w:rsid w:val="00DB5724"/>
    <w:rsid w:val="00DD27B4"/>
    <w:rsid w:val="00DF5C03"/>
    <w:rsid w:val="00E0505F"/>
    <w:rsid w:val="00E413E8"/>
    <w:rsid w:val="00E53E23"/>
    <w:rsid w:val="00E81B5A"/>
    <w:rsid w:val="00E84BF8"/>
    <w:rsid w:val="00E84C7D"/>
    <w:rsid w:val="00E87DA3"/>
    <w:rsid w:val="00ED3FCA"/>
    <w:rsid w:val="00F21F9A"/>
    <w:rsid w:val="00F31667"/>
    <w:rsid w:val="00F617C2"/>
    <w:rsid w:val="00F9346A"/>
    <w:rsid w:val="00F96D96"/>
    <w:rsid w:val="00FA1D51"/>
    <w:rsid w:val="00FE22C8"/>
    <w:rsid w:val="00FF7435"/>
    <w:rsid w:val="0123726D"/>
    <w:rsid w:val="014A2772"/>
    <w:rsid w:val="023D2E70"/>
    <w:rsid w:val="02C743C1"/>
    <w:rsid w:val="039878EC"/>
    <w:rsid w:val="040B06E5"/>
    <w:rsid w:val="078C4CBB"/>
    <w:rsid w:val="0892514B"/>
    <w:rsid w:val="08A62AAC"/>
    <w:rsid w:val="0AFB3C1C"/>
    <w:rsid w:val="0C0F72DF"/>
    <w:rsid w:val="0D63437C"/>
    <w:rsid w:val="11066794"/>
    <w:rsid w:val="192B2F61"/>
    <w:rsid w:val="1CF10B1C"/>
    <w:rsid w:val="20565716"/>
    <w:rsid w:val="21243DFF"/>
    <w:rsid w:val="21AE0639"/>
    <w:rsid w:val="2290543A"/>
    <w:rsid w:val="23B376A2"/>
    <w:rsid w:val="28AD1D92"/>
    <w:rsid w:val="29293CD2"/>
    <w:rsid w:val="2C23799B"/>
    <w:rsid w:val="2DF107FC"/>
    <w:rsid w:val="2F0752E1"/>
    <w:rsid w:val="2F1D09B9"/>
    <w:rsid w:val="32354A92"/>
    <w:rsid w:val="34F8337A"/>
    <w:rsid w:val="3B2630AD"/>
    <w:rsid w:val="3D334529"/>
    <w:rsid w:val="3F420692"/>
    <w:rsid w:val="3FDC44EA"/>
    <w:rsid w:val="408D0A0C"/>
    <w:rsid w:val="433B4651"/>
    <w:rsid w:val="43A93CE6"/>
    <w:rsid w:val="45830F89"/>
    <w:rsid w:val="45A30CF1"/>
    <w:rsid w:val="45A80678"/>
    <w:rsid w:val="47624258"/>
    <w:rsid w:val="50E843BF"/>
    <w:rsid w:val="52331234"/>
    <w:rsid w:val="54C1317C"/>
    <w:rsid w:val="5D69357A"/>
    <w:rsid w:val="5D8A3580"/>
    <w:rsid w:val="5DAD4A8D"/>
    <w:rsid w:val="5FA036A6"/>
    <w:rsid w:val="61D30E36"/>
    <w:rsid w:val="62602DFF"/>
    <w:rsid w:val="63FE5EF8"/>
    <w:rsid w:val="655F0982"/>
    <w:rsid w:val="6A80217B"/>
    <w:rsid w:val="6BBE6A9D"/>
    <w:rsid w:val="6C4742C0"/>
    <w:rsid w:val="6FCF622E"/>
    <w:rsid w:val="70104684"/>
    <w:rsid w:val="74CC1DFE"/>
    <w:rsid w:val="7919552E"/>
    <w:rsid w:val="7927410B"/>
    <w:rsid w:val="7B812425"/>
    <w:rsid w:val="7C2606BB"/>
    <w:rsid w:val="7DCB331E"/>
    <w:rsid w:val="7E940A7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qFormat/>
    <w:uiPriority w:val="0"/>
    <w:pPr>
      <w:spacing w:after="0"/>
    </w:pPr>
    <w:rPr>
      <w:sz w:val="18"/>
      <w:szCs w:val="18"/>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9">
    <w:name w:val="fontstyle01"/>
    <w:basedOn w:val="5"/>
    <w:qFormat/>
    <w:uiPriority w:val="0"/>
    <w:rPr>
      <w:rFonts w:ascii="CIDFont + F2" w:hAnsi="CIDFont + F2" w:eastAsia="CIDFont + F2" w:cs="CIDFont + F2"/>
      <w:color w:val="000000"/>
      <w:sz w:val="20"/>
      <w:szCs w:val="20"/>
    </w:rPr>
  </w:style>
  <w:style w:type="character" w:customStyle="1" w:styleId="10">
    <w:name w:val="页眉 Char"/>
    <w:basedOn w:val="5"/>
    <w:link w:val="4"/>
    <w:qFormat/>
    <w:uiPriority w:val="0"/>
    <w:rPr>
      <w:rFonts w:eastAsia="PMingLiU"/>
      <w:sz w:val="18"/>
      <w:szCs w:val="18"/>
      <w:lang w:eastAsia="en-US"/>
    </w:rPr>
  </w:style>
  <w:style w:type="character" w:customStyle="1" w:styleId="11">
    <w:name w:val="页脚 Char"/>
    <w:basedOn w:val="5"/>
    <w:link w:val="3"/>
    <w:qFormat/>
    <w:uiPriority w:val="0"/>
    <w:rPr>
      <w:rFonts w:eastAsia="PMingLiU"/>
      <w:sz w:val="18"/>
      <w:szCs w:val="18"/>
      <w:lang w:eastAsia="en-US"/>
    </w:rPr>
  </w:style>
  <w:style w:type="paragraph" w:styleId="12">
    <w:name w:val="List Paragraph"/>
    <w:basedOn w:val="1"/>
    <w:unhideWhenUsed/>
    <w:qFormat/>
    <w:uiPriority w:val="34"/>
    <w:pPr>
      <w:ind w:firstLine="420" w:firstLineChars="200"/>
    </w:pPr>
  </w:style>
  <w:style w:type="character" w:customStyle="1" w:styleId="13">
    <w:name w:val="批注框文本 Char"/>
    <w:basedOn w:val="5"/>
    <w:link w:val="2"/>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FC093C-1947-455E-8EEE-701866EA758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401</Words>
  <Characters>2290</Characters>
  <Lines>19</Lines>
  <Paragraphs>5</Paragraphs>
  <TotalTime>1</TotalTime>
  <ScaleCrop>false</ScaleCrop>
  <LinksUpToDate>false</LinksUpToDate>
  <CharactersWithSpaces>2686</CharactersWithSpaces>
  <Application>WPS Office_11.1.0.7764_F1E327BC-269C-435d-A152-05C5408002CA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zzz</cp:lastModifiedBy>
  <cp:lastPrinted>2017-01-05T16:24:00Z</cp:lastPrinted>
  <dcterms:modified xsi:type="dcterms:W3CDTF">2018-09-25T03:39:03Z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2052-11.1.0.7764</vt:lpwstr>
  </property>
</Properties>
</file>